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0A0DA" w14:textId="09E30F73" w:rsidR="00495464" w:rsidRDefault="00FA5ABB" w:rsidP="0019724D">
      <w:r>
        <w:rPr>
          <w:noProof/>
        </w:rPr>
        <mc:AlternateContent>
          <mc:Choice Requires="wps">
            <w:drawing>
              <wp:anchor distT="0" distB="0" distL="114300" distR="114300" simplePos="0" relativeHeight="251661312" behindDoc="0" locked="0" layoutInCell="1" allowOverlap="1" wp14:anchorId="1354AC50" wp14:editId="19245B85">
                <wp:simplePos x="0" y="0"/>
                <wp:positionH relativeFrom="column">
                  <wp:posOffset>78740</wp:posOffset>
                </wp:positionH>
                <wp:positionV relativeFrom="paragraph">
                  <wp:posOffset>-368935</wp:posOffset>
                </wp:positionV>
                <wp:extent cx="1685925" cy="495300"/>
                <wp:effectExtent l="0" t="0" r="9525" b="0"/>
                <wp:wrapNone/>
                <wp:docPr id="1837756204" name="Text Box 2"/>
                <wp:cNvGraphicFramePr/>
                <a:graphic xmlns:a="http://schemas.openxmlformats.org/drawingml/2006/main">
                  <a:graphicData uri="http://schemas.microsoft.com/office/word/2010/wordprocessingShape">
                    <wps:wsp>
                      <wps:cNvSpPr txBox="1"/>
                      <wps:spPr>
                        <a:xfrm>
                          <a:off x="0" y="0"/>
                          <a:ext cx="1685925" cy="495300"/>
                        </a:xfrm>
                        <a:prstGeom prst="rect">
                          <a:avLst/>
                        </a:prstGeom>
                        <a:solidFill>
                          <a:schemeClr val="lt1"/>
                        </a:solidFill>
                        <a:ln w="6350">
                          <a:noFill/>
                        </a:ln>
                      </wps:spPr>
                      <wps:txbx>
                        <w:txbxContent>
                          <w:p w14:paraId="07CDC1C7" w14:textId="56A0CA18" w:rsidR="00FA5ABB" w:rsidRPr="00FA5ABB" w:rsidRDefault="00FA5ABB" w:rsidP="00FA5ABB">
                            <w:pPr>
                              <w:jc w:val="center"/>
                            </w:pPr>
                            <w:r w:rsidRPr="00FA5ABB">
                              <w:drawing>
                                <wp:inline distT="0" distB="0" distL="0" distR="0" wp14:anchorId="6A382AC5" wp14:editId="4B3957D1">
                                  <wp:extent cx="970789" cy="438150"/>
                                  <wp:effectExtent l="0" t="0" r="1270" b="0"/>
                                  <wp:docPr id="2066129744" name="Picture 3" descr="A logo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29744" name="Picture 3" descr="A logo with blue and green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941" cy="439121"/>
                                          </a:xfrm>
                                          <a:prstGeom prst="rect">
                                            <a:avLst/>
                                          </a:prstGeom>
                                          <a:noFill/>
                                          <a:ln>
                                            <a:noFill/>
                                          </a:ln>
                                        </pic:spPr>
                                      </pic:pic>
                                    </a:graphicData>
                                  </a:graphic>
                                </wp:inline>
                              </w:drawing>
                            </w:r>
                          </w:p>
                          <w:p w14:paraId="44769784" w14:textId="14C81BF2" w:rsidR="00FA5ABB" w:rsidRPr="00FA5ABB" w:rsidRDefault="00FA5ABB" w:rsidP="00FA5ABB">
                            <w:pPr>
                              <w:jc w:val="center"/>
                            </w:pPr>
                          </w:p>
                          <w:p w14:paraId="2370E7A2" w14:textId="793A5573" w:rsidR="005B5213" w:rsidRDefault="005B5213" w:rsidP="005B521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54AC50" id="_x0000_t202" coordsize="21600,21600" o:spt="202" path="m,l,21600r21600,l21600,xe">
                <v:stroke joinstyle="miter"/>
                <v:path gradientshapeok="t" o:connecttype="rect"/>
              </v:shapetype>
              <v:shape id="Text Box 2" o:spid="_x0000_s1026" type="#_x0000_t202" style="position:absolute;margin-left:6.2pt;margin-top:-29.05pt;width:132.7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0CLQIAAFQEAAAOAAAAZHJzL2Uyb0RvYy54bWysVEuP2jAQvlfqf7B8Lwks0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" fillcolor="white [3201]" stroked="f" strokeweight=".5pt">
                <v:textbox>
                  <w:txbxContent>
                    <w:p w14:paraId="07CDC1C7" w14:textId="56A0CA18" w:rsidR="00FA5ABB" w:rsidRPr="00FA5ABB" w:rsidRDefault="00FA5ABB" w:rsidP="00FA5ABB">
                      <w:pPr>
                        <w:jc w:val="center"/>
                      </w:pPr>
                      <w:r w:rsidRPr="00FA5ABB">
                        <w:drawing>
                          <wp:inline distT="0" distB="0" distL="0" distR="0" wp14:anchorId="6A382AC5" wp14:editId="4B3957D1">
                            <wp:extent cx="970789" cy="438150"/>
                            <wp:effectExtent l="0" t="0" r="1270" b="0"/>
                            <wp:docPr id="2066129744" name="Picture 3" descr="A logo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29744" name="Picture 3" descr="A logo with blue and green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941" cy="439121"/>
                                    </a:xfrm>
                                    <a:prstGeom prst="rect">
                                      <a:avLst/>
                                    </a:prstGeom>
                                    <a:noFill/>
                                    <a:ln>
                                      <a:noFill/>
                                    </a:ln>
                                  </pic:spPr>
                                </pic:pic>
                              </a:graphicData>
                            </a:graphic>
                          </wp:inline>
                        </w:drawing>
                      </w:r>
                    </w:p>
                    <w:p w14:paraId="44769784" w14:textId="14C81BF2" w:rsidR="00FA5ABB" w:rsidRPr="00FA5ABB" w:rsidRDefault="00FA5ABB" w:rsidP="00FA5ABB">
                      <w:pPr>
                        <w:jc w:val="center"/>
                      </w:pPr>
                    </w:p>
                    <w:p w14:paraId="2370E7A2" w14:textId="793A5573" w:rsidR="005B5213" w:rsidRDefault="005B5213" w:rsidP="005B5213">
                      <w:pPr>
                        <w:jc w:val="center"/>
                      </w:pPr>
                    </w:p>
                  </w:txbxContent>
                </v:textbox>
              </v:shape>
            </w:pict>
          </mc:Fallback>
        </mc:AlternateContent>
      </w:r>
      <w:r w:rsidR="00495464">
        <w:rPr>
          <w:noProof/>
        </w:rPr>
        <mc:AlternateContent>
          <mc:Choice Requires="wps">
            <w:drawing>
              <wp:anchor distT="0" distB="0" distL="114300" distR="114300" simplePos="0" relativeHeight="251659264" behindDoc="0" locked="0" layoutInCell="1" allowOverlap="1" wp14:anchorId="591C84A7" wp14:editId="72A5AB91">
                <wp:simplePos x="0" y="0"/>
                <wp:positionH relativeFrom="column">
                  <wp:posOffset>1669415</wp:posOffset>
                </wp:positionH>
                <wp:positionV relativeFrom="paragraph">
                  <wp:posOffset>-521335</wp:posOffset>
                </wp:positionV>
                <wp:extent cx="3181350" cy="1038225"/>
                <wp:effectExtent l="0" t="0" r="0" b="9525"/>
                <wp:wrapNone/>
                <wp:docPr id="404544033" name="Text Box 3"/>
                <wp:cNvGraphicFramePr/>
                <a:graphic xmlns:a="http://schemas.openxmlformats.org/drawingml/2006/main">
                  <a:graphicData uri="http://schemas.microsoft.com/office/word/2010/wordprocessingShape">
                    <wps:wsp>
                      <wps:cNvSpPr txBox="1"/>
                      <wps:spPr>
                        <a:xfrm>
                          <a:off x="0" y="0"/>
                          <a:ext cx="3181350" cy="1038225"/>
                        </a:xfrm>
                        <a:prstGeom prst="rect">
                          <a:avLst/>
                        </a:prstGeom>
                        <a:solidFill>
                          <a:schemeClr val="lt1"/>
                        </a:solidFill>
                        <a:ln w="6350">
                          <a:noFill/>
                        </a:ln>
                      </wps:spPr>
                      <wps:txbx>
                        <w:txbxContent>
                          <w:p w14:paraId="16B8B02D" w14:textId="77777777" w:rsidR="00495464" w:rsidRDefault="00495464" w:rsidP="00C05E7C">
                            <w:pPr>
                              <w:spacing w:line="240" w:lineRule="auto"/>
                              <w:contextualSpacing/>
                              <w:jc w:val="center"/>
                              <w:rPr>
                                <w:rFonts w:ascii="Aptos Black" w:hAnsi="Aptos Black"/>
                                <w:sz w:val="28"/>
                                <w:szCs w:val="28"/>
                              </w:rPr>
                            </w:pPr>
                          </w:p>
                          <w:p w14:paraId="1AD4700D" w14:textId="14E7ABDB" w:rsidR="00C05E7C" w:rsidRPr="00495464" w:rsidRDefault="00C05E7C" w:rsidP="00C05E7C">
                            <w:pPr>
                              <w:spacing w:line="240" w:lineRule="auto"/>
                              <w:contextualSpacing/>
                              <w:jc w:val="center"/>
                              <w:rPr>
                                <w:rFonts w:ascii="Aptos Black" w:hAnsi="Aptos Black"/>
                                <w:sz w:val="32"/>
                                <w:szCs w:val="32"/>
                              </w:rPr>
                            </w:pPr>
                            <w:r w:rsidRPr="00495464">
                              <w:rPr>
                                <w:rFonts w:ascii="Aptos Black" w:hAnsi="Aptos Black"/>
                                <w:sz w:val="32"/>
                                <w:szCs w:val="32"/>
                              </w:rPr>
                              <w:t>FORTH GREEN FREEPORT</w:t>
                            </w:r>
                          </w:p>
                          <w:p w14:paraId="7CE26160" w14:textId="14B26AC3" w:rsidR="00C05E7C" w:rsidRPr="00495464" w:rsidRDefault="00C05E7C" w:rsidP="00C05E7C">
                            <w:pPr>
                              <w:spacing w:line="240" w:lineRule="auto"/>
                              <w:contextualSpacing/>
                              <w:jc w:val="center"/>
                              <w:rPr>
                                <w:rFonts w:ascii="Aptos Black" w:hAnsi="Aptos Black"/>
                                <w:sz w:val="32"/>
                                <w:szCs w:val="32"/>
                              </w:rPr>
                            </w:pPr>
                            <w:r w:rsidRPr="00495464">
                              <w:rPr>
                                <w:rFonts w:ascii="Aptos Black" w:hAnsi="Aptos Black"/>
                                <w:sz w:val="32"/>
                                <w:szCs w:val="32"/>
                              </w:rPr>
                              <w:t>FIFE UPDATE</w:t>
                            </w:r>
                            <w:r w:rsidR="00A75704" w:rsidRPr="00495464">
                              <w:rPr>
                                <w:rFonts w:ascii="Aptos Black" w:hAnsi="Aptos Black"/>
                                <w:sz w:val="32"/>
                                <w:szCs w:val="32"/>
                              </w:rPr>
                              <w:t xml:space="preserve"> - </w:t>
                            </w:r>
                            <w:r w:rsidRPr="00495464">
                              <w:rPr>
                                <w:rFonts w:ascii="Aptos Black" w:hAnsi="Aptos Black"/>
                                <w:sz w:val="32"/>
                                <w:szCs w:val="32"/>
                              </w:rPr>
                              <w:t xml:space="preserve">SUMMER </w:t>
                            </w:r>
                            <w:r w:rsidR="00495464">
                              <w:rPr>
                                <w:rFonts w:ascii="Aptos Black" w:hAnsi="Aptos Black"/>
                                <w:sz w:val="32"/>
                                <w:szCs w:val="32"/>
                              </w:rPr>
                              <w:t xml:space="preserve"> </w:t>
                            </w:r>
                            <w:r w:rsidR="00AE4DFD">
                              <w:rPr>
                                <w:rFonts w:ascii="Aptos Black" w:hAnsi="Aptos Black"/>
                                <w:sz w:val="32"/>
                                <w:szCs w:val="32"/>
                              </w:rPr>
                              <w:t>2025</w:t>
                            </w:r>
                            <w:r w:rsidRPr="00495464">
                              <w:rPr>
                                <w:rFonts w:ascii="Aptos Black" w:hAnsi="Aptos Black"/>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C84A7" id="Text Box 3" o:spid="_x0000_s1027" type="#_x0000_t202" style="position:absolute;margin-left:131.45pt;margin-top:-41.05pt;width:250.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" fillcolor="white [3201]" stroked="f" strokeweight=".5pt">
                <v:textbox>
                  <w:txbxContent>
                    <w:p w14:paraId="16B8B02D" w14:textId="77777777" w:rsidR="00495464" w:rsidRDefault="00495464" w:rsidP="00C05E7C">
                      <w:pPr>
                        <w:spacing w:line="240" w:lineRule="auto"/>
                        <w:contextualSpacing/>
                        <w:jc w:val="center"/>
                        <w:rPr>
                          <w:rFonts w:ascii="Aptos Black" w:hAnsi="Aptos Black"/>
                          <w:sz w:val="28"/>
                          <w:szCs w:val="28"/>
                        </w:rPr>
                      </w:pPr>
                    </w:p>
                    <w:p w14:paraId="1AD4700D" w14:textId="14E7ABDB" w:rsidR="00C05E7C" w:rsidRPr="00495464" w:rsidRDefault="00C05E7C" w:rsidP="00C05E7C">
                      <w:pPr>
                        <w:spacing w:line="240" w:lineRule="auto"/>
                        <w:contextualSpacing/>
                        <w:jc w:val="center"/>
                        <w:rPr>
                          <w:rFonts w:ascii="Aptos Black" w:hAnsi="Aptos Black"/>
                          <w:sz w:val="32"/>
                          <w:szCs w:val="32"/>
                        </w:rPr>
                      </w:pPr>
                      <w:r w:rsidRPr="00495464">
                        <w:rPr>
                          <w:rFonts w:ascii="Aptos Black" w:hAnsi="Aptos Black"/>
                          <w:sz w:val="32"/>
                          <w:szCs w:val="32"/>
                        </w:rPr>
                        <w:t>FORTH GREEN FREEPORT</w:t>
                      </w:r>
                    </w:p>
                    <w:p w14:paraId="7CE26160" w14:textId="14B26AC3" w:rsidR="00C05E7C" w:rsidRPr="00495464" w:rsidRDefault="00C05E7C" w:rsidP="00C05E7C">
                      <w:pPr>
                        <w:spacing w:line="240" w:lineRule="auto"/>
                        <w:contextualSpacing/>
                        <w:jc w:val="center"/>
                        <w:rPr>
                          <w:rFonts w:ascii="Aptos Black" w:hAnsi="Aptos Black"/>
                          <w:sz w:val="32"/>
                          <w:szCs w:val="32"/>
                        </w:rPr>
                      </w:pPr>
                      <w:r w:rsidRPr="00495464">
                        <w:rPr>
                          <w:rFonts w:ascii="Aptos Black" w:hAnsi="Aptos Black"/>
                          <w:sz w:val="32"/>
                          <w:szCs w:val="32"/>
                        </w:rPr>
                        <w:t>FIFE UPDATE</w:t>
                      </w:r>
                      <w:r w:rsidR="00A75704" w:rsidRPr="00495464">
                        <w:rPr>
                          <w:rFonts w:ascii="Aptos Black" w:hAnsi="Aptos Black"/>
                          <w:sz w:val="32"/>
                          <w:szCs w:val="32"/>
                        </w:rPr>
                        <w:t xml:space="preserve"> - </w:t>
                      </w:r>
                      <w:r w:rsidRPr="00495464">
                        <w:rPr>
                          <w:rFonts w:ascii="Aptos Black" w:hAnsi="Aptos Black"/>
                          <w:sz w:val="32"/>
                          <w:szCs w:val="32"/>
                        </w:rPr>
                        <w:t xml:space="preserve">SUMMER </w:t>
                      </w:r>
                      <w:r w:rsidR="00495464">
                        <w:rPr>
                          <w:rFonts w:ascii="Aptos Black" w:hAnsi="Aptos Black"/>
                          <w:sz w:val="32"/>
                          <w:szCs w:val="32"/>
                        </w:rPr>
                        <w:t xml:space="preserve"> </w:t>
                      </w:r>
                      <w:r w:rsidR="00AE4DFD">
                        <w:rPr>
                          <w:rFonts w:ascii="Aptos Black" w:hAnsi="Aptos Black"/>
                          <w:sz w:val="32"/>
                          <w:szCs w:val="32"/>
                        </w:rPr>
                        <w:t>2025</w:t>
                      </w:r>
                      <w:r w:rsidRPr="00495464">
                        <w:rPr>
                          <w:rFonts w:ascii="Aptos Black" w:hAnsi="Aptos Black"/>
                          <w:sz w:val="32"/>
                          <w:szCs w:val="32"/>
                        </w:rPr>
                        <w:t xml:space="preserve"> </w:t>
                      </w:r>
                    </w:p>
                  </w:txbxContent>
                </v:textbox>
              </v:shape>
            </w:pict>
          </mc:Fallback>
        </mc:AlternateContent>
      </w:r>
      <w:r w:rsidR="001F2426">
        <w:rPr>
          <w:noProof/>
        </w:rPr>
        <mc:AlternateContent>
          <mc:Choice Requires="wps">
            <w:drawing>
              <wp:anchor distT="0" distB="0" distL="114300" distR="114300" simplePos="0" relativeHeight="251665408" behindDoc="0" locked="0" layoutInCell="1" allowOverlap="1" wp14:anchorId="1C4004A9" wp14:editId="66D466E6">
                <wp:simplePos x="0" y="0"/>
                <wp:positionH relativeFrom="column">
                  <wp:posOffset>4993640</wp:posOffset>
                </wp:positionH>
                <wp:positionV relativeFrom="paragraph">
                  <wp:posOffset>-368935</wp:posOffset>
                </wp:positionV>
                <wp:extent cx="1485900" cy="619125"/>
                <wp:effectExtent l="0" t="0" r="0" b="9525"/>
                <wp:wrapNone/>
                <wp:docPr id="1339552805" name="Text Box 7"/>
                <wp:cNvGraphicFramePr/>
                <a:graphic xmlns:a="http://schemas.openxmlformats.org/drawingml/2006/main">
                  <a:graphicData uri="http://schemas.microsoft.com/office/word/2010/wordprocessingShape">
                    <wps:wsp>
                      <wps:cNvSpPr txBox="1"/>
                      <wps:spPr>
                        <a:xfrm>
                          <a:off x="0" y="0"/>
                          <a:ext cx="1485900" cy="619125"/>
                        </a:xfrm>
                        <a:prstGeom prst="rect">
                          <a:avLst/>
                        </a:prstGeom>
                        <a:solidFill>
                          <a:schemeClr val="lt1"/>
                        </a:solidFill>
                        <a:ln w="6350">
                          <a:noFill/>
                        </a:ln>
                      </wps:spPr>
                      <wps:txbx>
                        <w:txbxContent>
                          <w:p w14:paraId="0D66A8AA" w14:textId="1B70783B" w:rsidR="001F2426" w:rsidRDefault="00D72619" w:rsidP="001F2426">
                            <w:r w:rsidRPr="00D72619">
                              <w:drawing>
                                <wp:inline distT="0" distB="0" distL="0" distR="0" wp14:anchorId="5459AB37" wp14:editId="44C132F2">
                                  <wp:extent cx="1238250" cy="514350"/>
                                  <wp:effectExtent l="0" t="0" r="0" b="0"/>
                                  <wp:docPr id="2132158595" name="Picture 1" descr="A logo with a rainbow colored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58595" name="Picture 1" descr="A logo with a rainbow colored ribbo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004A9" id="Text Box 7" o:spid="_x0000_s1028" type="#_x0000_t202" style="position:absolute;margin-left:393.2pt;margin-top:-29.05pt;width:117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" fillcolor="white [3201]" stroked="f" strokeweight=".5pt">
                <v:textbox>
                  <w:txbxContent>
                    <w:p w14:paraId="0D66A8AA" w14:textId="1B70783B" w:rsidR="001F2426" w:rsidRDefault="00D72619" w:rsidP="001F2426">
                      <w:r w:rsidRPr="00D72619">
                        <w:drawing>
                          <wp:inline distT="0" distB="0" distL="0" distR="0" wp14:anchorId="5459AB37" wp14:editId="44C132F2">
                            <wp:extent cx="1238250" cy="514350"/>
                            <wp:effectExtent l="0" t="0" r="0" b="0"/>
                            <wp:docPr id="2132158595" name="Picture 1" descr="A logo with a rainbow colored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58595" name="Picture 1" descr="A logo with a rainbow colored ribbo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p>
                  </w:txbxContent>
                </v:textbox>
              </v:shape>
            </w:pict>
          </mc:Fallback>
        </mc:AlternateContent>
      </w:r>
      <w:r w:rsidR="00C05E7C">
        <w:t xml:space="preserve">                                                                                   </w:t>
      </w:r>
    </w:p>
    <w:p w14:paraId="005F5DAA" w14:textId="1F424793" w:rsidR="001F2426" w:rsidRDefault="00FE1238" w:rsidP="00FE1238">
      <w:pPr>
        <w:ind w:left="1440"/>
      </w:pPr>
      <w:r>
        <w:t xml:space="preserve">           </w:t>
      </w:r>
    </w:p>
    <w:tbl>
      <w:tblPr>
        <w:tblStyle w:val="TableGrid"/>
        <w:tblW w:w="10485" w:type="dxa"/>
        <w:tblLook w:val="04A0" w:firstRow="1" w:lastRow="0" w:firstColumn="1" w:lastColumn="0" w:noHBand="0" w:noVBand="1"/>
      </w:tblPr>
      <w:tblGrid>
        <w:gridCol w:w="10485"/>
      </w:tblGrid>
      <w:tr w:rsidR="00C05E7C" w14:paraId="7B8BF80B" w14:textId="77777777" w:rsidTr="00AE4DFD">
        <w:tc>
          <w:tcPr>
            <w:tcW w:w="10485" w:type="dxa"/>
          </w:tcPr>
          <w:p w14:paraId="176D606A" w14:textId="3C29E7F9" w:rsidR="00C05E7C" w:rsidRPr="00C50CE7" w:rsidRDefault="00C05E7C" w:rsidP="007F0D76">
            <w:pPr>
              <w:jc w:val="center"/>
              <w:rPr>
                <w:b/>
                <w:bCs/>
                <w:i/>
                <w:iCs/>
                <w:color w:val="000000" w:themeColor="text1"/>
                <w:sz w:val="28"/>
                <w:szCs w:val="28"/>
                <w:u w:val="single"/>
              </w:rPr>
            </w:pPr>
            <w:r w:rsidRPr="00C50CE7">
              <w:rPr>
                <w:b/>
                <w:bCs/>
                <w:i/>
                <w:iCs/>
                <w:color w:val="000000" w:themeColor="text1"/>
                <w:sz w:val="28"/>
                <w:szCs w:val="28"/>
                <w:u w:val="single"/>
              </w:rPr>
              <w:t>Program</w:t>
            </w:r>
            <w:r w:rsidR="001F2426">
              <w:rPr>
                <w:b/>
                <w:bCs/>
                <w:i/>
                <w:iCs/>
                <w:color w:val="000000" w:themeColor="text1"/>
                <w:sz w:val="28"/>
                <w:szCs w:val="28"/>
                <w:u w:val="single"/>
              </w:rPr>
              <w:t>m</w:t>
            </w:r>
            <w:r w:rsidRPr="00C50CE7">
              <w:rPr>
                <w:b/>
                <w:bCs/>
                <w:i/>
                <w:iCs/>
                <w:color w:val="000000" w:themeColor="text1"/>
                <w:sz w:val="28"/>
                <w:szCs w:val="28"/>
                <w:u w:val="single"/>
              </w:rPr>
              <w:t>e Update</w:t>
            </w:r>
          </w:p>
          <w:p w14:paraId="3E43997E" w14:textId="77777777" w:rsidR="00880E1D" w:rsidRDefault="00880E1D" w:rsidP="00C05E7C"/>
          <w:p w14:paraId="3B9307B9" w14:textId="21BBB290" w:rsidR="00880E1D" w:rsidRDefault="00880E1D" w:rsidP="008D04AC">
            <w:pPr>
              <w:pStyle w:val="ListParagraph"/>
              <w:numPr>
                <w:ilvl w:val="0"/>
                <w:numId w:val="16"/>
              </w:numPr>
              <w:jc w:val="both"/>
            </w:pPr>
            <w:r>
              <w:t xml:space="preserve">Forth Green Freeport </w:t>
            </w:r>
            <w:r w:rsidR="00C82B33">
              <w:t xml:space="preserve">(FGF) </w:t>
            </w:r>
            <w:r>
              <w:t>is open for business and actively seeking investment enquiries</w:t>
            </w:r>
            <w:r w:rsidR="0074590B">
              <w:t>.</w:t>
            </w:r>
          </w:p>
          <w:p w14:paraId="5C9C24AE" w14:textId="77777777" w:rsidR="005B5213" w:rsidRDefault="005B5213" w:rsidP="008D04AC">
            <w:pPr>
              <w:pStyle w:val="ListParagraph"/>
              <w:jc w:val="both"/>
            </w:pPr>
          </w:p>
          <w:p w14:paraId="74B571B4" w14:textId="6F2147E5" w:rsidR="0074590B" w:rsidRDefault="00880E1D" w:rsidP="008D04AC">
            <w:pPr>
              <w:pStyle w:val="ListParagraph"/>
              <w:numPr>
                <w:ilvl w:val="0"/>
                <w:numId w:val="16"/>
              </w:numPr>
              <w:jc w:val="both"/>
            </w:pPr>
            <w:r>
              <w:t xml:space="preserve">Forth Green Freeport Ltd </w:t>
            </w:r>
            <w:r w:rsidRPr="005B5213">
              <w:rPr>
                <w:i/>
                <w:iCs/>
              </w:rPr>
              <w:t xml:space="preserve">(a company limited by guarantee) </w:t>
            </w:r>
            <w:r w:rsidR="0074590B">
              <w:t>is the operating company which will deliver the Forth Green Freeport programme, overseen by the Forth Green Freeport Board</w:t>
            </w:r>
            <w:r w:rsidR="00D63047">
              <w:t xml:space="preserve"> which has representation from consortium partners and UK and Scottish Government observers.</w:t>
            </w:r>
          </w:p>
          <w:p w14:paraId="4E2B5F69" w14:textId="77777777" w:rsidR="0074590B" w:rsidRDefault="0074590B" w:rsidP="008D04AC">
            <w:pPr>
              <w:jc w:val="both"/>
            </w:pPr>
          </w:p>
          <w:p w14:paraId="39CEE4A3" w14:textId="10973FC4" w:rsidR="00A75704" w:rsidRDefault="00A75704" w:rsidP="008D04AC">
            <w:pPr>
              <w:pStyle w:val="ListParagraph"/>
              <w:numPr>
                <w:ilvl w:val="0"/>
                <w:numId w:val="16"/>
              </w:numPr>
              <w:jc w:val="both"/>
            </w:pPr>
            <w:r w:rsidRPr="0074590B">
              <w:t>Approval of the Full Business Case</w:t>
            </w:r>
            <w:r>
              <w:t xml:space="preserve"> (FBC)</w:t>
            </w:r>
            <w:r w:rsidRPr="0074590B">
              <w:t xml:space="preserve"> anticipate</w:t>
            </w:r>
            <w:r>
              <w:t>d to be imminent</w:t>
            </w:r>
            <w:r w:rsidRPr="0074590B">
              <w:t xml:space="preserve">, will enable the release of </w:t>
            </w:r>
          </w:p>
          <w:p w14:paraId="7A1A414A" w14:textId="77777777" w:rsidR="007F0D76" w:rsidRDefault="00A75704" w:rsidP="008D04AC">
            <w:pPr>
              <w:pStyle w:val="ListParagraph"/>
              <w:jc w:val="both"/>
            </w:pPr>
            <w:r w:rsidRPr="0074590B">
              <w:t xml:space="preserve">£25million </w:t>
            </w:r>
            <w:r>
              <w:t xml:space="preserve">from Government to be used as </w:t>
            </w:r>
            <w:r w:rsidRPr="0074590B">
              <w:t>seed capital</w:t>
            </w:r>
            <w:r>
              <w:t xml:space="preserve"> for agreed projects which have followed a rigorous assessment process.</w:t>
            </w:r>
            <w:r w:rsidR="007F0D76">
              <w:t xml:space="preserve"> </w:t>
            </w:r>
          </w:p>
          <w:p w14:paraId="44B50EAC" w14:textId="77777777" w:rsidR="007F0D76" w:rsidRDefault="007F0D76" w:rsidP="008D04AC">
            <w:pPr>
              <w:pStyle w:val="ListParagraph"/>
              <w:jc w:val="both"/>
            </w:pPr>
          </w:p>
          <w:p w14:paraId="2FA369F8" w14:textId="4C6845D1" w:rsidR="007F0D76" w:rsidRDefault="00A75704" w:rsidP="008D04AC">
            <w:pPr>
              <w:pStyle w:val="ListParagraph"/>
              <w:jc w:val="both"/>
            </w:pPr>
            <w:r>
              <w:t>The</w:t>
            </w:r>
            <w:r w:rsidR="00FF30BC">
              <w:t xml:space="preserve"> seed </w:t>
            </w:r>
            <w:r>
              <w:t>projects are targeted to enable infrastructure and capacity building at strategic brownfield sites which will lead to accelerated re-development, investment and job opportunities.</w:t>
            </w:r>
            <w:r w:rsidR="008D04AC">
              <w:t xml:space="preserve"> </w:t>
            </w:r>
            <w:r w:rsidR="007F0D76">
              <w:t xml:space="preserve"> </w:t>
            </w:r>
            <w:r>
              <w:t xml:space="preserve">It is projected that </w:t>
            </w:r>
            <w:r w:rsidR="00FF30BC">
              <w:t>the seed</w:t>
            </w:r>
            <w:r>
              <w:t xml:space="preserve"> projects across the programme will attract an additional £164.2 million</w:t>
            </w:r>
          </w:p>
          <w:p w14:paraId="4F506F4D" w14:textId="0A2256C6" w:rsidR="00C05E7C" w:rsidRDefault="007F0D76" w:rsidP="008D04AC">
            <w:pPr>
              <w:pStyle w:val="ListParagraph"/>
              <w:ind w:left="660"/>
              <w:jc w:val="both"/>
            </w:pPr>
            <w:r>
              <w:t xml:space="preserve"> </w:t>
            </w:r>
            <w:r w:rsidR="00A75704">
              <w:t>of private sector investment.</w:t>
            </w:r>
          </w:p>
          <w:p w14:paraId="3A77B216" w14:textId="77777777" w:rsidR="007F0D76" w:rsidRDefault="007F0D76" w:rsidP="00A75704">
            <w:pPr>
              <w:pStyle w:val="ListParagraph"/>
              <w:ind w:left="660"/>
            </w:pPr>
          </w:p>
          <w:p w14:paraId="3BEED1E0" w14:textId="7B028CE8" w:rsidR="007F0D76" w:rsidRPr="007F0D76" w:rsidRDefault="007F0D76" w:rsidP="008D04AC">
            <w:pPr>
              <w:pStyle w:val="ListParagraph"/>
              <w:numPr>
                <w:ilvl w:val="0"/>
                <w:numId w:val="20"/>
              </w:numPr>
              <w:jc w:val="both"/>
              <w:rPr>
                <w:b/>
                <w:bCs/>
                <w:i/>
                <w:iCs/>
              </w:rPr>
            </w:pPr>
            <w:r>
              <w:t xml:space="preserve">Fife has secured </w:t>
            </w:r>
            <w:r w:rsidR="00FB7F62">
              <w:t xml:space="preserve">£13M of </w:t>
            </w:r>
            <w:r>
              <w:t>seed capital funding for 3 projects which are in development and expected to start September 2025</w:t>
            </w:r>
            <w:r w:rsidR="008D04AC">
              <w:t>.</w:t>
            </w:r>
            <w:r>
              <w:t xml:space="preserve"> </w:t>
            </w:r>
            <w:r w:rsidRPr="007F0D76">
              <w:rPr>
                <w:b/>
                <w:bCs/>
                <w:i/>
                <w:iCs/>
              </w:rPr>
              <w:t>(please see page 3 below for detail)</w:t>
            </w:r>
          </w:p>
          <w:p w14:paraId="663432C1" w14:textId="546CBFA8" w:rsidR="00A75704" w:rsidRDefault="00A75704" w:rsidP="00A75704">
            <w:pPr>
              <w:pStyle w:val="ListParagraph"/>
              <w:ind w:left="660"/>
            </w:pPr>
          </w:p>
        </w:tc>
      </w:tr>
      <w:tr w:rsidR="00A75704" w14:paraId="67588D01" w14:textId="77777777" w:rsidTr="00AE4DFD">
        <w:tc>
          <w:tcPr>
            <w:tcW w:w="10485" w:type="dxa"/>
          </w:tcPr>
          <w:p w14:paraId="33CA38D2" w14:textId="133EE801" w:rsidR="00A75704" w:rsidRPr="00C50CE7" w:rsidRDefault="00A75704" w:rsidP="00A75704">
            <w:pPr>
              <w:jc w:val="center"/>
              <w:rPr>
                <w:b/>
                <w:bCs/>
                <w:i/>
                <w:iCs/>
                <w:color w:val="000000" w:themeColor="text1"/>
                <w:sz w:val="28"/>
                <w:szCs w:val="28"/>
                <w:u w:val="single"/>
              </w:rPr>
            </w:pPr>
            <w:r w:rsidRPr="00C50CE7">
              <w:rPr>
                <w:b/>
                <w:bCs/>
                <w:i/>
                <w:iCs/>
                <w:color w:val="000000" w:themeColor="text1"/>
                <w:sz w:val="28"/>
                <w:szCs w:val="28"/>
                <w:u w:val="single"/>
              </w:rPr>
              <w:t>FGF Ltd – Programme Delivery Team</w:t>
            </w:r>
          </w:p>
          <w:p w14:paraId="0CF92289" w14:textId="77777777" w:rsidR="00A75704" w:rsidRDefault="00A75704" w:rsidP="00A75704">
            <w:pPr>
              <w:jc w:val="center"/>
              <w:rPr>
                <w:color w:val="014F2C"/>
                <w14:textFill>
                  <w14:solidFill>
                    <w14:srgbClr w14:val="014F2C">
                      <w14:lumMod w14:val="90000"/>
                      <w14:lumOff w14:val="10000"/>
                    </w14:srgbClr>
                  </w14:solidFill>
                </w14:textFill>
              </w:rPr>
            </w:pPr>
          </w:p>
          <w:p w14:paraId="1D3A5FC2" w14:textId="77777777" w:rsidR="006D05FA" w:rsidRDefault="006D05FA" w:rsidP="006D05FA">
            <w:pPr>
              <w:rPr>
                <w:rFonts w:eastAsia="Times New Roman"/>
                <w:color w:val="000000"/>
              </w:rPr>
            </w:pPr>
            <w:r>
              <w:rPr>
                <w:rFonts w:eastAsia="Times New Roman"/>
                <w:b/>
                <w:bCs/>
                <w:color w:val="000000"/>
              </w:rPr>
              <w:t>Sarah Murray</w:t>
            </w:r>
            <w:r>
              <w:rPr>
                <w:rFonts w:eastAsia="Times New Roman"/>
                <w:color w:val="000000"/>
              </w:rPr>
              <w:t>, CEO of FGF Ltd, has recruited a four-person team to deliver the Forth Green Freeport programme with support from consortium partners including Fife Council. The team includes:</w:t>
            </w:r>
          </w:p>
          <w:p w14:paraId="1CA152A2" w14:textId="77777777" w:rsidR="006D05FA" w:rsidRDefault="006D05FA" w:rsidP="006D05FA">
            <w:pPr>
              <w:rPr>
                <w:rFonts w:eastAsia="Times New Roman"/>
                <w:color w:val="000000"/>
              </w:rPr>
            </w:pPr>
          </w:p>
          <w:p w14:paraId="68C2A480" w14:textId="6427C5AD" w:rsidR="006D05FA" w:rsidRDefault="006D05FA" w:rsidP="006D05FA">
            <w:pPr>
              <w:pStyle w:val="ListParagraph"/>
              <w:numPr>
                <w:ilvl w:val="0"/>
                <w:numId w:val="20"/>
              </w:numPr>
              <w:rPr>
                <w:rFonts w:eastAsia="Times New Roman"/>
                <w:color w:val="000000"/>
              </w:rPr>
            </w:pPr>
            <w:r w:rsidRPr="006D05FA">
              <w:rPr>
                <w:rFonts w:eastAsia="Times New Roman"/>
                <w:b/>
                <w:bCs/>
                <w:color w:val="000000"/>
              </w:rPr>
              <w:t>Tom Morris</w:t>
            </w:r>
            <w:r w:rsidR="00F66CF6">
              <w:rPr>
                <w:rFonts w:eastAsia="Times New Roman"/>
                <w:b/>
                <w:bCs/>
                <w:color w:val="000000"/>
              </w:rPr>
              <w:t xml:space="preserve"> </w:t>
            </w:r>
            <w:r w:rsidRPr="00F66CF6">
              <w:rPr>
                <w:rFonts w:eastAsia="Times New Roman"/>
                <w:color w:val="000000"/>
              </w:rPr>
              <w:t>Trade and Investment Manage</w:t>
            </w:r>
            <w:r w:rsidR="00F66CF6" w:rsidRPr="00F66CF6">
              <w:rPr>
                <w:rFonts w:eastAsia="Times New Roman"/>
                <w:color w:val="000000"/>
              </w:rPr>
              <w:t>r</w:t>
            </w:r>
            <w:r w:rsidR="00F66CF6">
              <w:rPr>
                <w:rFonts w:eastAsia="Times New Roman"/>
                <w:b/>
                <w:bCs/>
                <w:color w:val="000000"/>
              </w:rPr>
              <w:t xml:space="preserve"> - </w:t>
            </w:r>
            <w:r w:rsidRPr="006D05FA">
              <w:rPr>
                <w:rFonts w:eastAsia="Times New Roman"/>
                <w:color w:val="000000"/>
              </w:rPr>
              <w:t xml:space="preserve">leading </w:t>
            </w:r>
            <w:r w:rsidR="00495464">
              <w:rPr>
                <w:rFonts w:eastAsia="Times New Roman"/>
                <w:color w:val="000000"/>
              </w:rPr>
              <w:t xml:space="preserve">joined up </w:t>
            </w:r>
            <w:r w:rsidRPr="006D05FA">
              <w:rPr>
                <w:rFonts w:eastAsia="Times New Roman"/>
                <w:color w:val="000000"/>
              </w:rPr>
              <w:t>investment strategies</w:t>
            </w:r>
          </w:p>
          <w:p w14:paraId="47E11A71" w14:textId="48EF567E" w:rsidR="006D05FA" w:rsidRDefault="006D05FA" w:rsidP="006D05FA">
            <w:pPr>
              <w:pStyle w:val="ListParagraph"/>
              <w:numPr>
                <w:ilvl w:val="0"/>
                <w:numId w:val="20"/>
              </w:numPr>
              <w:rPr>
                <w:rFonts w:eastAsia="Times New Roman"/>
                <w:color w:val="000000"/>
              </w:rPr>
            </w:pPr>
            <w:r w:rsidRPr="006D05FA">
              <w:rPr>
                <w:rFonts w:eastAsia="Times New Roman"/>
                <w:b/>
                <w:bCs/>
                <w:color w:val="000000"/>
              </w:rPr>
              <w:t>Rhona McMillan</w:t>
            </w:r>
            <w:r w:rsidR="00F66CF6">
              <w:rPr>
                <w:rFonts w:eastAsia="Times New Roman"/>
                <w:b/>
                <w:bCs/>
                <w:color w:val="000000"/>
              </w:rPr>
              <w:t xml:space="preserve"> </w:t>
            </w:r>
            <w:r w:rsidRPr="00F66CF6">
              <w:rPr>
                <w:rFonts w:eastAsia="Times New Roman"/>
                <w:color w:val="000000"/>
              </w:rPr>
              <w:t>Governance and Operations Officer</w:t>
            </w:r>
            <w:r w:rsidR="00F66CF6">
              <w:rPr>
                <w:rFonts w:eastAsia="Times New Roman"/>
                <w:b/>
                <w:bCs/>
                <w:color w:val="000000"/>
              </w:rPr>
              <w:t xml:space="preserve"> - </w:t>
            </w:r>
            <w:r w:rsidRPr="006D05FA">
              <w:rPr>
                <w:rFonts w:eastAsia="Times New Roman"/>
                <w:color w:val="000000"/>
              </w:rPr>
              <w:t>overseeing governance and operations</w:t>
            </w:r>
          </w:p>
          <w:p w14:paraId="6EB7D443" w14:textId="6F36AD48" w:rsidR="006D05FA" w:rsidRDefault="006D05FA" w:rsidP="006D05FA">
            <w:pPr>
              <w:pStyle w:val="ListParagraph"/>
              <w:numPr>
                <w:ilvl w:val="0"/>
                <w:numId w:val="20"/>
              </w:numPr>
              <w:rPr>
                <w:rFonts w:eastAsia="Times New Roman"/>
                <w:color w:val="000000"/>
              </w:rPr>
            </w:pPr>
            <w:r w:rsidRPr="006D05FA">
              <w:rPr>
                <w:rFonts w:eastAsia="Times New Roman"/>
                <w:b/>
                <w:bCs/>
                <w:color w:val="000000"/>
              </w:rPr>
              <w:t>Sharon Pryde</w:t>
            </w:r>
            <w:r w:rsidR="00F66CF6">
              <w:rPr>
                <w:rFonts w:eastAsia="Times New Roman"/>
                <w:b/>
                <w:bCs/>
                <w:color w:val="000000"/>
              </w:rPr>
              <w:t xml:space="preserve"> </w:t>
            </w:r>
            <w:r w:rsidRPr="00F66CF6">
              <w:t>Skills and Fair Work Manager</w:t>
            </w:r>
            <w:r w:rsidR="00F66CF6">
              <w:rPr>
                <w:b/>
                <w:bCs/>
              </w:rPr>
              <w:t xml:space="preserve"> - </w:t>
            </w:r>
            <w:r w:rsidRPr="006D05FA">
              <w:rPr>
                <w:rFonts w:eastAsia="Times New Roman"/>
                <w:color w:val="000000"/>
              </w:rPr>
              <w:t xml:space="preserve">managing </w:t>
            </w:r>
            <w:r w:rsidR="00FF2421">
              <w:rPr>
                <w:rFonts w:eastAsia="Times New Roman"/>
                <w:color w:val="000000"/>
              </w:rPr>
              <w:t>the FGF</w:t>
            </w:r>
            <w:r w:rsidR="003B2933">
              <w:rPr>
                <w:rFonts w:eastAsia="Times New Roman"/>
                <w:color w:val="000000"/>
              </w:rPr>
              <w:t xml:space="preserve"> </w:t>
            </w:r>
            <w:r w:rsidRPr="006D05FA">
              <w:rPr>
                <w:rFonts w:eastAsia="Times New Roman"/>
                <w:color w:val="000000"/>
              </w:rPr>
              <w:t>Fair Work and Skills</w:t>
            </w:r>
            <w:r w:rsidR="00FF2421">
              <w:rPr>
                <w:rFonts w:eastAsia="Times New Roman"/>
                <w:color w:val="000000"/>
              </w:rPr>
              <w:t xml:space="preserve"> Charter</w:t>
            </w:r>
            <w:r w:rsidRPr="006D05FA">
              <w:rPr>
                <w:rFonts w:eastAsia="Times New Roman"/>
                <w:color w:val="000000"/>
              </w:rPr>
              <w:t xml:space="preserve"> </w:t>
            </w:r>
          </w:p>
          <w:p w14:paraId="6081F52D" w14:textId="6F4D7D4F" w:rsidR="006D05FA" w:rsidRDefault="006D05FA" w:rsidP="006D05FA">
            <w:pPr>
              <w:pStyle w:val="ListParagraph"/>
              <w:numPr>
                <w:ilvl w:val="0"/>
                <w:numId w:val="20"/>
              </w:numPr>
              <w:rPr>
                <w:rFonts w:eastAsia="Times New Roman"/>
                <w:color w:val="000000"/>
              </w:rPr>
            </w:pPr>
            <w:r w:rsidRPr="006D05FA">
              <w:rPr>
                <w:rFonts w:eastAsia="Times New Roman"/>
                <w:b/>
                <w:bCs/>
                <w:color w:val="000000"/>
              </w:rPr>
              <w:t>Dr Isobel Marr</w:t>
            </w:r>
            <w:r w:rsidR="00F66CF6">
              <w:rPr>
                <w:rFonts w:eastAsia="Times New Roman"/>
                <w:b/>
                <w:bCs/>
                <w:color w:val="000000"/>
              </w:rPr>
              <w:t xml:space="preserve"> </w:t>
            </w:r>
            <w:r w:rsidRPr="00F66CF6">
              <w:rPr>
                <w:rFonts w:eastAsia="Times New Roman"/>
                <w:color w:val="000000"/>
              </w:rPr>
              <w:t>Innovation and Net Zero Manager</w:t>
            </w:r>
            <w:r w:rsidR="00F66CF6">
              <w:rPr>
                <w:rFonts w:eastAsia="Times New Roman"/>
                <w:b/>
                <w:bCs/>
                <w:color w:val="000000"/>
              </w:rPr>
              <w:t xml:space="preserve"> - </w:t>
            </w:r>
            <w:r w:rsidRPr="006D05FA">
              <w:rPr>
                <w:rFonts w:eastAsia="Times New Roman"/>
                <w:color w:val="000000"/>
              </w:rPr>
              <w:t>driving innovation and net zero commitments.</w:t>
            </w:r>
          </w:p>
          <w:p w14:paraId="3CFA3F3B" w14:textId="77777777" w:rsidR="00A75704" w:rsidRDefault="00A75704" w:rsidP="00C05E7C"/>
        </w:tc>
      </w:tr>
      <w:tr w:rsidR="006D05FA" w14:paraId="43E81A92" w14:textId="77777777" w:rsidTr="00AE4DFD">
        <w:tc>
          <w:tcPr>
            <w:tcW w:w="10485" w:type="dxa"/>
          </w:tcPr>
          <w:p w14:paraId="71D7B23A" w14:textId="499183FF" w:rsidR="006D05FA" w:rsidRDefault="006D05FA" w:rsidP="006D05FA">
            <w:pPr>
              <w:pStyle w:val="ListParagraph"/>
              <w:ind w:left="731"/>
              <w:jc w:val="center"/>
              <w:rPr>
                <w:b/>
                <w:bCs/>
                <w:i/>
                <w:iCs/>
                <w:color w:val="000000" w:themeColor="text1"/>
                <w:sz w:val="28"/>
                <w:szCs w:val="28"/>
                <w:u w:val="single"/>
              </w:rPr>
            </w:pPr>
            <w:r w:rsidRPr="00C50CE7">
              <w:rPr>
                <w:b/>
                <w:bCs/>
                <w:i/>
                <w:iCs/>
                <w:color w:val="000000" w:themeColor="text1"/>
                <w:sz w:val="28"/>
                <w:szCs w:val="28"/>
                <w:u w:val="single"/>
              </w:rPr>
              <w:t xml:space="preserve">FGF Programme </w:t>
            </w:r>
            <w:r w:rsidR="00377AA9">
              <w:rPr>
                <w:b/>
                <w:bCs/>
                <w:i/>
                <w:iCs/>
                <w:color w:val="000000" w:themeColor="text1"/>
                <w:sz w:val="28"/>
                <w:szCs w:val="28"/>
                <w:u w:val="single"/>
              </w:rPr>
              <w:t>S</w:t>
            </w:r>
            <w:r w:rsidRPr="00C50CE7">
              <w:rPr>
                <w:b/>
                <w:bCs/>
                <w:i/>
                <w:iCs/>
                <w:color w:val="000000" w:themeColor="text1"/>
                <w:sz w:val="28"/>
                <w:szCs w:val="28"/>
                <w:u w:val="single"/>
              </w:rPr>
              <w:t xml:space="preserve">trategic </w:t>
            </w:r>
            <w:r w:rsidR="00377AA9">
              <w:rPr>
                <w:b/>
                <w:bCs/>
                <w:i/>
                <w:iCs/>
                <w:color w:val="000000" w:themeColor="text1"/>
                <w:sz w:val="28"/>
                <w:szCs w:val="28"/>
                <w:u w:val="single"/>
              </w:rPr>
              <w:t>A</w:t>
            </w:r>
            <w:r w:rsidRPr="00C50CE7">
              <w:rPr>
                <w:b/>
                <w:bCs/>
                <w:i/>
                <w:iCs/>
                <w:color w:val="000000" w:themeColor="text1"/>
                <w:sz w:val="28"/>
                <w:szCs w:val="28"/>
                <w:u w:val="single"/>
              </w:rPr>
              <w:t xml:space="preserve">lignment &amp; </w:t>
            </w:r>
            <w:r w:rsidR="00377AA9">
              <w:rPr>
                <w:b/>
                <w:bCs/>
                <w:i/>
                <w:iCs/>
                <w:color w:val="000000" w:themeColor="text1"/>
                <w:sz w:val="28"/>
                <w:szCs w:val="28"/>
                <w:u w:val="single"/>
              </w:rPr>
              <w:t>O</w:t>
            </w:r>
            <w:r w:rsidRPr="00C50CE7">
              <w:rPr>
                <w:b/>
                <w:bCs/>
                <w:i/>
                <w:iCs/>
                <w:color w:val="000000" w:themeColor="text1"/>
                <w:sz w:val="28"/>
                <w:szCs w:val="28"/>
                <w:u w:val="single"/>
              </w:rPr>
              <w:t>pportunities</w:t>
            </w:r>
          </w:p>
          <w:p w14:paraId="62675410" w14:textId="3A9DA718" w:rsidR="006D05FA" w:rsidRDefault="006D05FA" w:rsidP="000343DE">
            <w:pPr>
              <w:rPr>
                <w:b/>
                <w:bCs/>
              </w:rPr>
            </w:pPr>
          </w:p>
          <w:p w14:paraId="4B32841C" w14:textId="6BE732C7" w:rsidR="000343DE" w:rsidRDefault="000343DE" w:rsidP="000343DE">
            <w:pPr>
              <w:rPr>
                <w:b/>
                <w:bCs/>
              </w:rPr>
            </w:pPr>
            <w:r>
              <w:rPr>
                <w:b/>
                <w:bCs/>
              </w:rPr>
              <w:t>City Region Deal Edinburgh &amp; South</w:t>
            </w:r>
            <w:r w:rsidR="00AF6D8B">
              <w:rPr>
                <w:b/>
                <w:bCs/>
              </w:rPr>
              <w:t>-</w:t>
            </w:r>
            <w:r>
              <w:rPr>
                <w:b/>
                <w:bCs/>
              </w:rPr>
              <w:t xml:space="preserve">East Scotland </w:t>
            </w:r>
          </w:p>
          <w:p w14:paraId="6FF3F29F" w14:textId="77777777" w:rsidR="000343DE" w:rsidRDefault="000343DE" w:rsidP="000343DE">
            <w:pPr>
              <w:rPr>
                <w:b/>
                <w:bCs/>
              </w:rPr>
            </w:pPr>
          </w:p>
          <w:p w14:paraId="234ED4D8" w14:textId="61D56A07" w:rsidR="006D05FA" w:rsidRDefault="006D05FA" w:rsidP="006D05FA">
            <w:pPr>
              <w:jc w:val="both"/>
            </w:pPr>
            <w:r w:rsidRPr="00797F34">
              <w:rPr>
                <w:b/>
                <w:bCs/>
              </w:rPr>
              <w:t>March 2025</w:t>
            </w:r>
            <w:r>
              <w:rPr>
                <w:b/>
                <w:bCs/>
              </w:rPr>
              <w:t xml:space="preserve"> - </w:t>
            </w:r>
            <w:r w:rsidRPr="00797F34">
              <w:rPr>
                <w:b/>
                <w:bCs/>
              </w:rPr>
              <w:t>Forth Green Freeport</w:t>
            </w:r>
            <w:r>
              <w:t xml:space="preserve"> was highlighted in the Edinburgh and South-East Scotland City Region Innovation Action Plan.  </w:t>
            </w:r>
          </w:p>
          <w:p w14:paraId="618498F8" w14:textId="77777777" w:rsidR="006D05FA" w:rsidRDefault="006D05FA" w:rsidP="006D05FA">
            <w:pPr>
              <w:jc w:val="both"/>
            </w:pPr>
          </w:p>
          <w:p w14:paraId="4A633043" w14:textId="77777777" w:rsidR="006D05FA" w:rsidRDefault="006D05FA" w:rsidP="006D05FA">
            <w:pPr>
              <w:jc w:val="both"/>
            </w:pPr>
            <w:r w:rsidRPr="002A6A48">
              <w:rPr>
                <w:b/>
                <w:bCs/>
              </w:rPr>
              <w:t>Fife Focus:</w:t>
            </w:r>
            <w:r w:rsidRPr="002A6A48">
              <w:t xml:space="preserve"> The Port of Rosyth and the Arrol Gibb Innovation Campus being highlighted as critical assets in fostering innovation, skills development, sustainable advanced manufacturing and supporting the development of sustainable alternative fuels.</w:t>
            </w:r>
          </w:p>
          <w:p w14:paraId="0923F7DA" w14:textId="224833C5" w:rsidR="006D05FA" w:rsidRPr="00C50CE7" w:rsidRDefault="006D05FA" w:rsidP="006D05FA">
            <w:pPr>
              <w:rPr>
                <w:b/>
                <w:bCs/>
                <w:i/>
                <w:iCs/>
                <w:color w:val="000000" w:themeColor="text1"/>
                <w:sz w:val="28"/>
                <w:szCs w:val="28"/>
                <w:u w:val="single"/>
              </w:rPr>
            </w:pPr>
          </w:p>
        </w:tc>
      </w:tr>
      <w:tr w:rsidR="006D05FA" w14:paraId="08938CC4" w14:textId="77777777" w:rsidTr="00AE4DFD">
        <w:tc>
          <w:tcPr>
            <w:tcW w:w="10485" w:type="dxa"/>
          </w:tcPr>
          <w:p w14:paraId="64885347" w14:textId="3ACC194A" w:rsidR="000343DE" w:rsidRDefault="000343DE" w:rsidP="006D05FA">
            <w:pPr>
              <w:spacing w:before="100" w:beforeAutospacing="1" w:after="100" w:afterAutospacing="1" w:line="300" w:lineRule="atLeast"/>
              <w:jc w:val="both"/>
              <w:rPr>
                <w:b/>
                <w:bCs/>
              </w:rPr>
            </w:pPr>
            <w:r>
              <w:rPr>
                <w:b/>
                <w:bCs/>
              </w:rPr>
              <w:t>The UK</w:t>
            </w:r>
            <w:r w:rsidR="00F66CF6">
              <w:rPr>
                <w:b/>
                <w:bCs/>
              </w:rPr>
              <w:t xml:space="preserve"> </w:t>
            </w:r>
            <w:r>
              <w:rPr>
                <w:b/>
                <w:bCs/>
              </w:rPr>
              <w:t>Modern Industrial Strategy</w:t>
            </w:r>
          </w:p>
          <w:p w14:paraId="1118E49B" w14:textId="78C97B33" w:rsidR="006D05FA" w:rsidRDefault="006D05FA" w:rsidP="006D05FA">
            <w:pPr>
              <w:spacing w:before="100" w:beforeAutospacing="1" w:after="100" w:afterAutospacing="1" w:line="300" w:lineRule="atLeast"/>
              <w:jc w:val="both"/>
            </w:pPr>
            <w:r w:rsidRPr="00E4618D">
              <w:rPr>
                <w:b/>
                <w:bCs/>
              </w:rPr>
              <w:t>June 2025</w:t>
            </w:r>
            <w:r>
              <w:t xml:space="preserve"> - UK Government published the UK Modern Industrial Strategy. Freeports are now considered as being part of Industrial Strategy Zones (ISZ) meaning </w:t>
            </w:r>
            <w:r w:rsidRPr="00B95ADB">
              <w:t>F</w:t>
            </w:r>
            <w:r w:rsidRPr="00070150">
              <w:t xml:space="preserve">orth Green Freeport is now part of a broader, unified framework under the ISZ banner. </w:t>
            </w:r>
          </w:p>
          <w:p w14:paraId="412CE769" w14:textId="77777777" w:rsidR="006D05FA" w:rsidRPr="002A6A48" w:rsidRDefault="006D05FA" w:rsidP="006D05FA">
            <w:pPr>
              <w:spacing w:before="100" w:beforeAutospacing="1" w:after="100" w:afterAutospacing="1" w:line="300" w:lineRule="atLeast"/>
              <w:jc w:val="both"/>
            </w:pPr>
            <w:r w:rsidRPr="002A6A48">
              <w:rPr>
                <w:b/>
                <w:bCs/>
              </w:rPr>
              <w:lastRenderedPageBreak/>
              <w:t>Fife Focus:</w:t>
            </w:r>
            <w:r w:rsidRPr="002A6A48">
              <w:t xml:space="preserve"> Freeport integration with ISZ means that development at Port of Rosyth and Burntisland will benefit from playing a part in aligning local and national growth priorities which gives Fife’s strategic FGF tax sites and supply chain corridors:</w:t>
            </w:r>
          </w:p>
          <w:p w14:paraId="72B6815B" w14:textId="77777777" w:rsidR="006D05FA" w:rsidRPr="002A6A48" w:rsidRDefault="006D05FA" w:rsidP="006D05FA">
            <w:pPr>
              <w:numPr>
                <w:ilvl w:val="0"/>
                <w:numId w:val="11"/>
              </w:numPr>
              <w:spacing w:before="100" w:beforeAutospacing="1" w:after="100" w:afterAutospacing="1" w:line="300" w:lineRule="atLeast"/>
              <w:jc w:val="both"/>
            </w:pPr>
            <w:r w:rsidRPr="002A6A48">
              <w:t>Access to cross-government resources in planning, grid connectivity, skills development, and innovation.</w:t>
            </w:r>
          </w:p>
          <w:p w14:paraId="1103A9C7" w14:textId="77777777" w:rsidR="00F66CF6" w:rsidRDefault="006D05FA" w:rsidP="006D05FA">
            <w:pPr>
              <w:numPr>
                <w:ilvl w:val="0"/>
                <w:numId w:val="11"/>
              </w:numPr>
              <w:spacing w:before="100" w:beforeAutospacing="1" w:after="100" w:afterAutospacing="1" w:line="300" w:lineRule="atLeast"/>
              <w:jc w:val="both"/>
            </w:pPr>
            <w:r w:rsidRPr="002A6A48">
              <w:t>A more coordinated approach to unlocking investment and infrastructure</w:t>
            </w:r>
            <w:r>
              <w:t>.</w:t>
            </w:r>
          </w:p>
          <w:p w14:paraId="77BF7FB7" w14:textId="000DBB28" w:rsidR="000343DE" w:rsidRPr="006D05FA" w:rsidRDefault="006D05FA" w:rsidP="006D05FA">
            <w:pPr>
              <w:numPr>
                <w:ilvl w:val="0"/>
                <w:numId w:val="11"/>
              </w:numPr>
              <w:spacing w:before="100" w:beforeAutospacing="1" w:after="100" w:afterAutospacing="1" w:line="300" w:lineRule="atLeast"/>
              <w:jc w:val="both"/>
            </w:pPr>
            <w:r w:rsidRPr="002A6A48">
              <w:t>Access to programme and project funding at scale to support development leading to more businesses and jobs in Fife</w:t>
            </w:r>
            <w:r>
              <w:t>.</w:t>
            </w:r>
          </w:p>
        </w:tc>
      </w:tr>
      <w:tr w:rsidR="006D05FA" w14:paraId="5E36FFC6" w14:textId="77777777" w:rsidTr="00AE4DFD">
        <w:tc>
          <w:tcPr>
            <w:tcW w:w="10485" w:type="dxa"/>
          </w:tcPr>
          <w:p w14:paraId="13FC96E7" w14:textId="009FB38F" w:rsidR="000343DE" w:rsidRDefault="000343DE" w:rsidP="000343DE">
            <w:pPr>
              <w:rPr>
                <w:b/>
                <w:bCs/>
              </w:rPr>
            </w:pPr>
            <w:r>
              <w:rPr>
                <w:b/>
                <w:bCs/>
              </w:rPr>
              <w:lastRenderedPageBreak/>
              <w:t>Berwick Bank Offshore Wind Farm</w:t>
            </w:r>
          </w:p>
          <w:p w14:paraId="5D6CB8AF" w14:textId="77777777" w:rsidR="000343DE" w:rsidRDefault="000343DE" w:rsidP="000343DE">
            <w:pPr>
              <w:jc w:val="both"/>
              <w:rPr>
                <w:b/>
                <w:bCs/>
              </w:rPr>
            </w:pPr>
          </w:p>
          <w:p w14:paraId="7D8CE3E7" w14:textId="668D7FCD" w:rsidR="000343DE" w:rsidRDefault="000343DE" w:rsidP="000343DE">
            <w:pPr>
              <w:jc w:val="both"/>
            </w:pPr>
            <w:r w:rsidRPr="001F2426">
              <w:rPr>
                <w:b/>
                <w:bCs/>
              </w:rPr>
              <w:t>31st July 2025</w:t>
            </w:r>
            <w:r>
              <w:t xml:space="preserve"> </w:t>
            </w:r>
            <w:r w:rsidRPr="0043746A">
              <w:t xml:space="preserve">Scottish Government </w:t>
            </w:r>
            <w:r>
              <w:t xml:space="preserve">approves </w:t>
            </w:r>
            <w:r w:rsidRPr="0043746A">
              <w:t xml:space="preserve">Berwick Bank Offshore Wind Farm </w:t>
            </w:r>
            <w:r w:rsidRPr="00B95ADB">
              <w:t>which</w:t>
            </w:r>
            <w:r w:rsidRPr="0043746A">
              <w:t xml:space="preserve"> </w:t>
            </w:r>
            <w:r>
              <w:t xml:space="preserve">is </w:t>
            </w:r>
            <w:r w:rsidRPr="0043746A">
              <w:t>significant for the Forth Green Freeport and</w:t>
            </w:r>
            <w:r w:rsidRPr="00B95ADB">
              <w:t xml:space="preserve"> </w:t>
            </w:r>
            <w:r w:rsidRPr="0043746A">
              <w:t xml:space="preserve">strengthens the region’s role in the UK’s clean energy transition and industrial strategy. </w:t>
            </w:r>
            <w:r w:rsidRPr="000152CE">
              <w:t>T</w:t>
            </w:r>
            <w:r>
              <w:t>here is strong s</w:t>
            </w:r>
            <w:r w:rsidRPr="0043746A">
              <w:t xml:space="preserve">trategic </w:t>
            </w:r>
            <w:r>
              <w:t>a</w:t>
            </w:r>
            <w:r w:rsidRPr="0043746A">
              <w:t>lignment</w:t>
            </w:r>
            <w:r>
              <w:t xml:space="preserve"> between FGF and </w:t>
            </w:r>
            <w:r w:rsidRPr="0043746A">
              <w:t>Berwick Bank, located in the outer Firth of Forth, now set to become the world’s largest offshore wind farm</w:t>
            </w:r>
            <w:r>
              <w:t>.</w:t>
            </w:r>
          </w:p>
          <w:p w14:paraId="26276E26" w14:textId="77777777" w:rsidR="000343DE" w:rsidRDefault="000343DE" w:rsidP="000343DE">
            <w:pPr>
              <w:jc w:val="both"/>
            </w:pPr>
          </w:p>
          <w:p w14:paraId="3AE0EED9" w14:textId="77777777" w:rsidR="000343DE" w:rsidRPr="00B95ADB" w:rsidRDefault="000343DE" w:rsidP="000343DE">
            <w:pPr>
              <w:jc w:val="both"/>
            </w:pPr>
            <w:r w:rsidRPr="000152CE">
              <w:rPr>
                <w:b/>
                <w:bCs/>
              </w:rPr>
              <w:t>Fife Focus:</w:t>
            </w:r>
            <w:r>
              <w:t xml:space="preserve"> </w:t>
            </w:r>
            <w:r w:rsidRPr="00B95ADB">
              <w:t>F</w:t>
            </w:r>
            <w:r w:rsidRPr="0043746A">
              <w:t>orth Green Freeport</w:t>
            </w:r>
            <w:r w:rsidRPr="00B95ADB">
              <w:t xml:space="preserve"> sites </w:t>
            </w:r>
            <w:r>
              <w:t xml:space="preserve">at Port of Rosyth and Burntisland </w:t>
            </w:r>
            <w:r w:rsidRPr="00B95ADB">
              <w:t xml:space="preserve">are </w:t>
            </w:r>
            <w:r w:rsidRPr="0043746A">
              <w:t>strategically positioned to support and benefit from this</w:t>
            </w:r>
            <w:r>
              <w:t xml:space="preserve"> substantial </w:t>
            </w:r>
            <w:r w:rsidRPr="00B95ADB">
              <w:t>o</w:t>
            </w:r>
            <w:r w:rsidRPr="0043746A">
              <w:t>ffshore wind development.</w:t>
            </w:r>
          </w:p>
          <w:p w14:paraId="2CD2184E" w14:textId="77777777" w:rsidR="00F66CF6" w:rsidRDefault="000343DE" w:rsidP="00F66CF6">
            <w:pPr>
              <w:pStyle w:val="ListParagraph"/>
              <w:numPr>
                <w:ilvl w:val="0"/>
                <w:numId w:val="18"/>
              </w:numPr>
              <w:spacing w:before="100" w:beforeAutospacing="1" w:after="100" w:afterAutospacing="1" w:line="300" w:lineRule="atLeast"/>
              <w:jc w:val="both"/>
            </w:pPr>
            <w:r w:rsidRPr="00B95ADB">
              <w:t xml:space="preserve">The </w:t>
            </w:r>
            <w:r>
              <w:t xml:space="preserve">Fife </w:t>
            </w:r>
            <w:r w:rsidRPr="00B95ADB">
              <w:t xml:space="preserve">FGF </w:t>
            </w:r>
            <w:r>
              <w:t xml:space="preserve">tax </w:t>
            </w:r>
            <w:r w:rsidRPr="00B95ADB">
              <w:t xml:space="preserve">sites </w:t>
            </w:r>
            <w:r>
              <w:t>at Rosyth and Burntisland alongside the</w:t>
            </w:r>
            <w:r w:rsidRPr="00B95ADB">
              <w:t xml:space="preserve"> </w:t>
            </w:r>
            <w:r>
              <w:t xml:space="preserve">land and industrial units across Fife’s </w:t>
            </w:r>
            <w:r w:rsidRPr="00B95ADB">
              <w:t>supply chain</w:t>
            </w:r>
            <w:r>
              <w:t xml:space="preserve"> corridor will be attractive for investment from those</w:t>
            </w:r>
            <w:r w:rsidRPr="00B95ADB">
              <w:t xml:space="preserve"> looking to support </w:t>
            </w:r>
            <w:r w:rsidRPr="0043746A">
              <w:t>Berwick Bank’s construction and maintenance</w:t>
            </w:r>
            <w:r>
              <w:t xml:space="preserve"> activities. </w:t>
            </w:r>
          </w:p>
          <w:p w14:paraId="54B2487C" w14:textId="4D0DFDE5" w:rsidR="000343DE" w:rsidRDefault="000343DE" w:rsidP="00F66CF6">
            <w:pPr>
              <w:pStyle w:val="ListParagraph"/>
              <w:numPr>
                <w:ilvl w:val="0"/>
                <w:numId w:val="18"/>
              </w:numPr>
              <w:spacing w:before="100" w:beforeAutospacing="1" w:after="100" w:afterAutospacing="1" w:line="300" w:lineRule="atLeast"/>
              <w:jc w:val="both"/>
            </w:pPr>
            <w:r>
              <w:t xml:space="preserve">Between new investment in Fife to support Berwick Bank and existing industry operations who may gain contracts to support the Berwick Bank and other Firth of Forth, FGF developments means Fife can expect to see an increase in business start-ups, business sustainability, jobs and skills development across Fife’s </w:t>
            </w:r>
            <w:r w:rsidRPr="00B95ADB">
              <w:t>communities.</w:t>
            </w:r>
          </w:p>
          <w:p w14:paraId="7F398F2F" w14:textId="77777777" w:rsidR="006D05FA" w:rsidRPr="00E4618D" w:rsidRDefault="006D05FA" w:rsidP="006D05FA">
            <w:pPr>
              <w:pStyle w:val="ListParagraph"/>
              <w:ind w:left="731"/>
              <w:jc w:val="center"/>
              <w:rPr>
                <w:noProof/>
              </w:rPr>
            </w:pPr>
          </w:p>
        </w:tc>
      </w:tr>
      <w:tr w:rsidR="00B95ADB" w14:paraId="05E9F572" w14:textId="77777777" w:rsidTr="000574DF">
        <w:tc>
          <w:tcPr>
            <w:tcW w:w="10485" w:type="dxa"/>
          </w:tcPr>
          <w:p w14:paraId="4A463A15" w14:textId="77777777" w:rsidR="00EF78A8" w:rsidRDefault="00EF78A8" w:rsidP="00F66CF6">
            <w:pPr>
              <w:jc w:val="center"/>
              <w:rPr>
                <w:b/>
                <w:bCs/>
                <w:i/>
                <w:iCs/>
                <w:color w:val="000000" w:themeColor="text1"/>
                <w:sz w:val="28"/>
                <w:szCs w:val="28"/>
                <w:u w:val="single"/>
              </w:rPr>
            </w:pPr>
            <w:r w:rsidRPr="00C50CE7">
              <w:rPr>
                <w:b/>
                <w:bCs/>
                <w:i/>
                <w:iCs/>
                <w:color w:val="000000" w:themeColor="text1"/>
                <w:sz w:val="28"/>
                <w:szCs w:val="28"/>
                <w:u w:val="single"/>
              </w:rPr>
              <w:t>Fife Update</w:t>
            </w:r>
          </w:p>
          <w:p w14:paraId="032F16F1" w14:textId="77777777" w:rsidR="00EF78A8" w:rsidRDefault="00EF78A8" w:rsidP="00EF78A8">
            <w:pPr>
              <w:jc w:val="center"/>
              <w:rPr>
                <w:b/>
                <w:bCs/>
                <w:i/>
                <w:iCs/>
                <w:color w:val="000000" w:themeColor="text1"/>
                <w:sz w:val="28"/>
                <w:szCs w:val="28"/>
                <w:u w:val="single"/>
              </w:rPr>
            </w:pPr>
          </w:p>
          <w:p w14:paraId="408FD0D3" w14:textId="77777777" w:rsidR="00EF78A8" w:rsidRDefault="00EF78A8" w:rsidP="00EF78A8">
            <w:pPr>
              <w:jc w:val="both"/>
            </w:pPr>
            <w:r w:rsidRPr="006F28EA">
              <w:rPr>
                <w:b/>
                <w:bCs/>
              </w:rPr>
              <w:t>Invest Fife</w:t>
            </w:r>
            <w:r>
              <w:t xml:space="preserve"> as part of Fife Council’s Economic Development team </w:t>
            </w:r>
            <w:r w:rsidRPr="00B95ADB">
              <w:t xml:space="preserve">have been working with FGF Fife tax site landowners and FGF Trade and Investment </w:t>
            </w:r>
            <w:r>
              <w:t>M</w:t>
            </w:r>
            <w:r w:rsidRPr="00B95ADB">
              <w:t>anager</w:t>
            </w:r>
            <w:r>
              <w:t xml:space="preserve"> </w:t>
            </w:r>
            <w:r w:rsidRPr="00B95ADB">
              <w:t xml:space="preserve">to support several commercially confidential investment enquiries </w:t>
            </w:r>
            <w:r>
              <w:t>for the sites at Port of Rosyth and Burntisland.</w:t>
            </w:r>
          </w:p>
          <w:p w14:paraId="684B0E1C" w14:textId="77777777" w:rsidR="00EF78A8" w:rsidRDefault="00EF78A8" w:rsidP="00EF78A8"/>
          <w:p w14:paraId="226948C0" w14:textId="77777777" w:rsidR="00EF78A8" w:rsidRDefault="00EF78A8" w:rsidP="00EF78A8">
            <w:pPr>
              <w:jc w:val="both"/>
            </w:pPr>
            <w:r w:rsidRPr="00077EE9">
              <w:rPr>
                <w:b/>
                <w:bCs/>
              </w:rPr>
              <w:t>Invest Fife</w:t>
            </w:r>
            <w:r>
              <w:t xml:space="preserve"> has developed bespoke proposals for these investment enquiries, delivered presentations and co-ordinated and hosted visits to relevant sites as well as providing a dedicated lead relationship manager to the potential investors to provide wrap around support to help secure investment in Fife.</w:t>
            </w:r>
          </w:p>
          <w:p w14:paraId="3C18BBE7" w14:textId="77777777" w:rsidR="00EF78A8" w:rsidRDefault="00EF78A8" w:rsidP="00EF78A8">
            <w:pPr>
              <w:jc w:val="center"/>
              <w:rPr>
                <w:b/>
                <w:bCs/>
                <w:i/>
                <w:iCs/>
                <w:color w:val="000000" w:themeColor="text1"/>
                <w:sz w:val="28"/>
                <w:szCs w:val="28"/>
                <w:u w:val="single"/>
              </w:rPr>
            </w:pPr>
          </w:p>
          <w:p w14:paraId="1BED51B4" w14:textId="77777777" w:rsidR="00EF78A8" w:rsidRDefault="00EF78A8" w:rsidP="00EF78A8">
            <w:pPr>
              <w:jc w:val="both"/>
            </w:pPr>
            <w:r w:rsidRPr="00160205">
              <w:t>As part of supporting both the Energy and Manufacturing sector in Fife and the Fife</w:t>
            </w:r>
            <w:r>
              <w:t xml:space="preserve"> FGF</w:t>
            </w:r>
            <w:r w:rsidRPr="00160205">
              <w:t xml:space="preserve"> Tax sites</w:t>
            </w:r>
            <w:r>
              <w:t xml:space="preserve">. </w:t>
            </w:r>
          </w:p>
          <w:p w14:paraId="7A64367C" w14:textId="77777777" w:rsidR="00EF78A8" w:rsidRDefault="00EF78A8" w:rsidP="00EF78A8">
            <w:pPr>
              <w:jc w:val="both"/>
            </w:pPr>
            <w:r w:rsidRPr="00077EE9">
              <w:rPr>
                <w:b/>
                <w:bCs/>
              </w:rPr>
              <w:t>Invest Fife</w:t>
            </w:r>
            <w:r>
              <w:t xml:space="preserve"> have developed and launched key assets such as:</w:t>
            </w:r>
          </w:p>
          <w:p w14:paraId="718B39EA" w14:textId="77777777" w:rsidR="00EF78A8" w:rsidRDefault="00EF78A8" w:rsidP="00EF78A8"/>
          <w:p w14:paraId="0539C46A" w14:textId="0B028932" w:rsidR="00EF78A8" w:rsidRPr="00160205" w:rsidRDefault="00EF78A8" w:rsidP="00EF78A8">
            <w:pPr>
              <w:pStyle w:val="ListParagraph"/>
              <w:numPr>
                <w:ilvl w:val="0"/>
                <w:numId w:val="19"/>
              </w:numPr>
              <w:spacing w:after="160" w:line="259" w:lineRule="auto"/>
              <w:rPr>
                <w:b/>
                <w:bCs/>
              </w:rPr>
            </w:pPr>
            <w:r w:rsidRPr="00160205">
              <w:rPr>
                <w:b/>
                <w:bCs/>
              </w:rPr>
              <w:t xml:space="preserve">Energy Sector prospectus and </w:t>
            </w:r>
            <w:r w:rsidR="00AF6D8B">
              <w:rPr>
                <w:b/>
                <w:bCs/>
              </w:rPr>
              <w:t>v</w:t>
            </w:r>
            <w:r w:rsidRPr="00160205">
              <w:rPr>
                <w:b/>
                <w:bCs/>
              </w:rPr>
              <w:t>ideo</w:t>
            </w:r>
          </w:p>
          <w:p w14:paraId="1430DA79" w14:textId="77777777" w:rsidR="00EF78A8" w:rsidRPr="00A1727B" w:rsidRDefault="00EF78A8" w:rsidP="00EF78A8">
            <w:pPr>
              <w:ind w:left="720"/>
            </w:pPr>
            <w:hyperlink r:id="rId10" w:history="1">
              <w:r w:rsidRPr="00A1727B">
                <w:rPr>
                  <w:rStyle w:val="Hyperlink"/>
                </w:rPr>
                <w:t>Fife Energy Prospectus 2025</w:t>
              </w:r>
            </w:hyperlink>
          </w:p>
          <w:p w14:paraId="053C806D" w14:textId="6921E9A3" w:rsidR="00F66CF6" w:rsidRPr="00A1727B" w:rsidRDefault="00BF43F2" w:rsidP="00BF43F2">
            <w:r w:rsidRPr="00A1727B">
              <w:t xml:space="preserve">                </w:t>
            </w:r>
            <w:hyperlink r:id="rId11" w:history="1">
              <w:r w:rsidR="00F66CF6" w:rsidRPr="00A1727B">
                <w:rPr>
                  <w:color w:val="0000FF"/>
                  <w:u w:val="single"/>
                </w:rPr>
                <w:t>Powering the Future: Fife’s Energy Transformation</w:t>
              </w:r>
            </w:hyperlink>
          </w:p>
          <w:p w14:paraId="7D178613" w14:textId="77777777" w:rsidR="00F66CF6" w:rsidRDefault="00F66CF6" w:rsidP="00F66CF6">
            <w:pPr>
              <w:ind w:left="720"/>
              <w:rPr>
                <w:b/>
                <w:bCs/>
                <w:i/>
                <w:iCs/>
                <w:color w:val="153D63" w:themeColor="text2" w:themeTint="E6"/>
                <w:sz w:val="24"/>
                <w:szCs w:val="24"/>
                <w:u w:val="single"/>
              </w:rPr>
            </w:pPr>
          </w:p>
          <w:p w14:paraId="0A7F74C0" w14:textId="0E8FFC9C" w:rsidR="00F66CF6" w:rsidRPr="00160205" w:rsidRDefault="00F66CF6" w:rsidP="00F66CF6">
            <w:pPr>
              <w:pStyle w:val="ListParagraph"/>
              <w:numPr>
                <w:ilvl w:val="0"/>
                <w:numId w:val="19"/>
              </w:numPr>
              <w:spacing w:after="160" w:line="259" w:lineRule="auto"/>
              <w:jc w:val="both"/>
              <w:rPr>
                <w:b/>
                <w:bCs/>
              </w:rPr>
            </w:pPr>
            <w:r w:rsidRPr="00160205">
              <w:rPr>
                <w:b/>
                <w:bCs/>
              </w:rPr>
              <w:t xml:space="preserve">Manufacturing Sector </w:t>
            </w:r>
            <w:r w:rsidR="00AF6D8B">
              <w:rPr>
                <w:b/>
                <w:bCs/>
              </w:rPr>
              <w:t>v</w:t>
            </w:r>
            <w:r w:rsidRPr="00160205">
              <w:rPr>
                <w:b/>
                <w:bCs/>
              </w:rPr>
              <w:t>ideo</w:t>
            </w:r>
          </w:p>
          <w:p w14:paraId="057BF89B" w14:textId="77777777" w:rsidR="00F66CF6" w:rsidRDefault="00F66CF6" w:rsidP="00F66CF6">
            <w:pPr>
              <w:ind w:left="720"/>
              <w:jc w:val="both"/>
            </w:pPr>
            <w:hyperlink r:id="rId12" w:history="1">
              <w:r w:rsidRPr="00160205">
                <w:rPr>
                  <w:color w:val="0000FF"/>
                  <w:u w:val="single"/>
                </w:rPr>
                <w:t>Innovation in Motion: Fife’s Manufacturing Strength</w:t>
              </w:r>
            </w:hyperlink>
          </w:p>
          <w:p w14:paraId="7FFD093A" w14:textId="77777777" w:rsidR="00F66CF6" w:rsidRDefault="00F66CF6" w:rsidP="00F66CF6">
            <w:pPr>
              <w:jc w:val="both"/>
            </w:pPr>
          </w:p>
          <w:p w14:paraId="133531E1" w14:textId="77777777" w:rsidR="00495464" w:rsidRDefault="00495464" w:rsidP="00F66CF6">
            <w:pPr>
              <w:jc w:val="both"/>
            </w:pPr>
          </w:p>
          <w:p w14:paraId="48CCDBC1" w14:textId="77777777" w:rsidR="00495464" w:rsidRDefault="00495464" w:rsidP="00F66CF6">
            <w:pPr>
              <w:jc w:val="both"/>
            </w:pPr>
          </w:p>
          <w:p w14:paraId="67B970EF" w14:textId="77777777" w:rsidR="000574DF" w:rsidRDefault="000574DF" w:rsidP="00F66CF6">
            <w:pPr>
              <w:jc w:val="both"/>
            </w:pPr>
          </w:p>
          <w:p w14:paraId="2957FBBE" w14:textId="58C3B9BD" w:rsidR="00F66CF6" w:rsidRDefault="00F66CF6" w:rsidP="00F66CF6">
            <w:pPr>
              <w:jc w:val="both"/>
            </w:pPr>
            <w:r>
              <w:t>These assets support the awareness of these sectors in Fife and opportunities for investment at Fife’s FGF tax sites and supply chain corridors across Fife as part of continued sector development supporting local, regional and national economies.</w:t>
            </w:r>
          </w:p>
          <w:p w14:paraId="2F6183A9" w14:textId="77777777" w:rsidR="00F66CF6" w:rsidRDefault="00F66CF6" w:rsidP="00F66CF6">
            <w:pPr>
              <w:rPr>
                <w:b/>
                <w:bCs/>
                <w:i/>
                <w:iCs/>
                <w:color w:val="153D63" w:themeColor="text2" w:themeTint="E6"/>
                <w:sz w:val="32"/>
                <w:szCs w:val="32"/>
                <w:u w:val="single"/>
              </w:rPr>
            </w:pPr>
          </w:p>
          <w:p w14:paraId="31FCB5DE" w14:textId="77777777" w:rsidR="00813A86" w:rsidRDefault="00F66CF6" w:rsidP="00813A86">
            <w:pPr>
              <w:rPr>
                <w:b/>
                <w:bCs/>
              </w:rPr>
            </w:pPr>
            <w:r w:rsidRPr="00BF43F2">
              <w:rPr>
                <w:b/>
                <w:bCs/>
              </w:rPr>
              <w:t xml:space="preserve">Fife FGF Seed Projects </w:t>
            </w:r>
          </w:p>
          <w:p w14:paraId="2BCA9957" w14:textId="77777777" w:rsidR="00813A86" w:rsidRDefault="00813A86" w:rsidP="00813A86"/>
          <w:p w14:paraId="24D7F1C9" w14:textId="46D9C796" w:rsidR="00F66CF6" w:rsidRPr="00813A86" w:rsidRDefault="00F66CF6" w:rsidP="00813A86">
            <w:pPr>
              <w:rPr>
                <w:b/>
                <w:bCs/>
              </w:rPr>
            </w:pPr>
            <w:r>
              <w:t xml:space="preserve">Fife has secured FGF seed capital funding for 3 projects which are in development and expected to start in September 2025. </w:t>
            </w:r>
          </w:p>
          <w:p w14:paraId="0B636FFC" w14:textId="77777777" w:rsidR="00F66CF6" w:rsidRDefault="00F66CF6" w:rsidP="00F66CF6"/>
          <w:p w14:paraId="239F4A89" w14:textId="0170C0EE" w:rsidR="00F66CF6" w:rsidRDefault="00F66CF6" w:rsidP="00813A86">
            <w:pPr>
              <w:pStyle w:val="ListParagraph"/>
              <w:numPr>
                <w:ilvl w:val="0"/>
                <w:numId w:val="21"/>
              </w:numPr>
              <w:spacing w:after="160" w:line="259" w:lineRule="auto"/>
              <w:jc w:val="both"/>
            </w:pPr>
            <w:r w:rsidRPr="008D04AC">
              <w:rPr>
                <w:b/>
                <w:bCs/>
              </w:rPr>
              <w:t>Arrol Gibb Innovation Campus</w:t>
            </w:r>
            <w:r>
              <w:t xml:space="preserve"> at Rosyth will create and deliver innovation and skills development infrastructure and programmes to support advanced manufacturing. Fife has a long history of innovation and manufacturing with products and process developed in Fife serving national and global markets.  Manufacturing is a key priority sector for the Fife economy with circa 13% of Fife’s working age population employed in manufacturing and 12% of total Scottish manufacturing turnover being generated in Fife. </w:t>
            </w:r>
          </w:p>
          <w:p w14:paraId="48B4D36A" w14:textId="77777777" w:rsidR="00813A86" w:rsidRDefault="00813A86" w:rsidP="00813A86">
            <w:pPr>
              <w:pStyle w:val="ListParagraph"/>
              <w:spacing w:after="160" w:line="259" w:lineRule="auto"/>
              <w:ind w:left="360"/>
              <w:jc w:val="both"/>
            </w:pPr>
          </w:p>
          <w:p w14:paraId="30FB3DB1" w14:textId="77777777" w:rsidR="00F66CF6" w:rsidRDefault="00F66CF6" w:rsidP="00F66CF6">
            <w:pPr>
              <w:pStyle w:val="ListParagraph"/>
              <w:numPr>
                <w:ilvl w:val="0"/>
                <w:numId w:val="21"/>
              </w:numPr>
              <w:spacing w:after="160" w:line="259" w:lineRule="auto"/>
              <w:jc w:val="both"/>
            </w:pPr>
            <w:r w:rsidRPr="007F0D76">
              <w:rPr>
                <w:b/>
                <w:bCs/>
              </w:rPr>
              <w:t xml:space="preserve">Integrated Energy System Rosyth - </w:t>
            </w:r>
            <w:r w:rsidRPr="00C50CE7">
              <w:t>this will offer</w:t>
            </w:r>
            <w:r>
              <w:t xml:space="preserve"> a</w:t>
            </w:r>
            <w:r w:rsidRPr="007F0D76">
              <w:rPr>
                <w:b/>
                <w:bCs/>
              </w:rPr>
              <w:t xml:space="preserve"> </w:t>
            </w:r>
            <w:r w:rsidRPr="00FB5B89">
              <w:t>sustainable</w:t>
            </w:r>
            <w:r>
              <w:t xml:space="preserve"> </w:t>
            </w:r>
            <w:r w:rsidRPr="00FB5B89">
              <w:t>efficient solution</w:t>
            </w:r>
            <w:r>
              <w:t xml:space="preserve"> onsite at Port of Rosyth</w:t>
            </w:r>
            <w:r w:rsidRPr="00FB5B89">
              <w:t xml:space="preserve"> to significantly reduce the reliance on grid supplied energy. The energy system will </w:t>
            </w:r>
            <w:r>
              <w:t xml:space="preserve">form part of the mix which will </w:t>
            </w:r>
            <w:r w:rsidRPr="00FB5B89">
              <w:t xml:space="preserve">support future operational resilience </w:t>
            </w:r>
            <w:r>
              <w:t>for businesses across the port of Rosyth, therefore</w:t>
            </w:r>
            <w:r w:rsidRPr="00FB5B89">
              <w:t xml:space="preserve"> contributing towards overall energy security and stability</w:t>
            </w:r>
            <w:r>
              <w:t xml:space="preserve"> across Rosyth and Dunfermline.</w:t>
            </w:r>
          </w:p>
          <w:p w14:paraId="317A7F10" w14:textId="77777777" w:rsidR="00F66CF6" w:rsidRDefault="00F66CF6" w:rsidP="00F66CF6">
            <w:pPr>
              <w:pStyle w:val="ListParagraph"/>
            </w:pPr>
          </w:p>
          <w:p w14:paraId="43695D25" w14:textId="69873939" w:rsidR="00F66CF6" w:rsidRDefault="00F66CF6" w:rsidP="00495464">
            <w:pPr>
              <w:pStyle w:val="ListParagraph"/>
              <w:numPr>
                <w:ilvl w:val="0"/>
                <w:numId w:val="21"/>
              </w:numPr>
              <w:jc w:val="both"/>
            </w:pPr>
            <w:r w:rsidRPr="00813A86">
              <w:rPr>
                <w:b/>
                <w:bCs/>
              </w:rPr>
              <w:t>Feasibility Rosyth Railway Restart – Freight Transport</w:t>
            </w:r>
            <w:r w:rsidRPr="00813A86">
              <w:rPr>
                <w:rStyle w:val="eop"/>
                <w:rFonts w:ascii="Arial" w:hAnsi="Arial" w:cs="Arial"/>
                <w:b/>
                <w:bCs/>
                <w:color w:val="FF0000"/>
                <w:shd w:val="clear" w:color="auto" w:fill="FFFFFF"/>
              </w:rPr>
              <w:t> </w:t>
            </w:r>
            <w:r w:rsidRPr="00077EE9">
              <w:t>– this feasibility project will consider, outline and cost the upgrade and re-utilisation of an existing (but dormant) branch line for rail freight movements at Port of Rosyth. This is likely to comprise locomotive led container units on low loader wagons to serve port volume logistics movements</w:t>
            </w:r>
            <w:r>
              <w:t xml:space="preserve"> as well as future supply chain</w:t>
            </w:r>
          </w:p>
          <w:p w14:paraId="59AE11B3" w14:textId="00E084AE" w:rsidR="00B95ADB" w:rsidRDefault="00B95ADB" w:rsidP="00F66CF6">
            <w:pPr>
              <w:jc w:val="both"/>
            </w:pPr>
          </w:p>
        </w:tc>
      </w:tr>
      <w:tr w:rsidR="00F66CF6" w14:paraId="6E263E50" w14:textId="77777777" w:rsidTr="000574DF">
        <w:tc>
          <w:tcPr>
            <w:tcW w:w="10485" w:type="dxa"/>
          </w:tcPr>
          <w:p w14:paraId="1185757E" w14:textId="77777777" w:rsidR="00F66CF6" w:rsidRPr="002A6A48" w:rsidRDefault="00F66CF6" w:rsidP="00F66CF6">
            <w:pPr>
              <w:jc w:val="center"/>
              <w:rPr>
                <w:b/>
                <w:bCs/>
                <w:i/>
                <w:iCs/>
                <w:color w:val="000000" w:themeColor="text1"/>
                <w:sz w:val="28"/>
                <w:szCs w:val="28"/>
                <w:u w:val="single"/>
              </w:rPr>
            </w:pPr>
            <w:r w:rsidRPr="002A6A48">
              <w:rPr>
                <w:b/>
                <w:bCs/>
                <w:i/>
                <w:iCs/>
                <w:color w:val="000000" w:themeColor="text1"/>
                <w:sz w:val="28"/>
                <w:szCs w:val="28"/>
                <w:u w:val="single"/>
              </w:rPr>
              <w:lastRenderedPageBreak/>
              <w:t>Skills and Workforce Development</w:t>
            </w:r>
          </w:p>
          <w:p w14:paraId="47F91B32" w14:textId="77777777" w:rsidR="00F66CF6" w:rsidRDefault="00F66CF6" w:rsidP="00F66CF6">
            <w:pPr>
              <w:pStyle w:val="ListParagraph"/>
            </w:pPr>
          </w:p>
          <w:p w14:paraId="3A951E63" w14:textId="77777777" w:rsidR="00F66CF6" w:rsidRDefault="00F66CF6" w:rsidP="00F66CF6">
            <w:pPr>
              <w:jc w:val="both"/>
            </w:pPr>
            <w:r>
              <w:t xml:space="preserve">Forth Green Freeport is expected to generate circa 34,500 new jobs over the lifetime of the programme, many of which may be within Fife FGF Tax sites at Port of Rosyth and Burntisland which combined has around 200 hectares of brownfield development land available for employment related investment.  </w:t>
            </w:r>
          </w:p>
          <w:p w14:paraId="05BB91E9" w14:textId="77777777" w:rsidR="00F66CF6" w:rsidRDefault="00F66CF6" w:rsidP="00F66CF6">
            <w:pPr>
              <w:jc w:val="both"/>
            </w:pPr>
          </w:p>
          <w:p w14:paraId="07D9583D" w14:textId="77777777" w:rsidR="00F66CF6" w:rsidRDefault="00F66CF6" w:rsidP="00F66CF6">
            <w:pPr>
              <w:jc w:val="both"/>
            </w:pPr>
            <w:r>
              <w:t>Across Fife and in different sectors such as manufacturing, alternative fuels, warehousing/logistics and ancillary services, new jobs will be created, and existing jobs will be sustained as strong supply chain pathways will start to develop to support regional, national and global sector opportunities created by Forth Green Freeport activities.</w:t>
            </w:r>
          </w:p>
          <w:p w14:paraId="381ABF4D" w14:textId="77777777" w:rsidR="00F66CF6" w:rsidRDefault="00F66CF6" w:rsidP="00F66CF6">
            <w:pPr>
              <w:jc w:val="both"/>
            </w:pPr>
          </w:p>
          <w:p w14:paraId="7529CE14" w14:textId="77777777" w:rsidR="00F66CF6" w:rsidRDefault="00F66CF6" w:rsidP="00F66CF6">
            <w:pPr>
              <w:jc w:val="both"/>
            </w:pPr>
            <w:r w:rsidRPr="00660B73">
              <w:t>Skills and workforce development remain central priorities across the domains of education, employability, and career progression. To this end, Fife Council’s Economic Development and Employability teams are actively collaborating with partners and industry stakeholders to assess current and future skills requirements, including phasing and timelines</w:t>
            </w:r>
            <w:r>
              <w:t>.</w:t>
            </w:r>
          </w:p>
          <w:p w14:paraId="75112F9F" w14:textId="77777777" w:rsidR="00F66CF6" w:rsidRDefault="00F66CF6" w:rsidP="00F66CF6">
            <w:pPr>
              <w:jc w:val="both"/>
            </w:pPr>
          </w:p>
          <w:p w14:paraId="6CE3165D" w14:textId="77777777" w:rsidR="00F66CF6" w:rsidRDefault="00F66CF6" w:rsidP="00F66CF6">
            <w:pPr>
              <w:jc w:val="both"/>
            </w:pPr>
            <w:r>
              <w:t xml:space="preserve">Ongoing engagement with education partners and providers ensures Culture of Enterprise engagement remains strong throughout Fife’s primary and secondary schools which is </w:t>
            </w:r>
            <w:r w:rsidRPr="00660B73">
              <w:t>complemented by initiatives such as Developing Young Workforce and bespoke, employer-led programmes, including Fife Job Contract, Skills Academies, and Skills Bootcamps</w:t>
            </w:r>
            <w:r>
              <w:t>.</w:t>
            </w:r>
          </w:p>
          <w:p w14:paraId="5EDDE2BF" w14:textId="77777777" w:rsidR="00F66CF6" w:rsidRDefault="00F66CF6" w:rsidP="00F66CF6">
            <w:pPr>
              <w:jc w:val="both"/>
            </w:pPr>
          </w:p>
          <w:p w14:paraId="212658E7" w14:textId="77777777" w:rsidR="00F66CF6" w:rsidRDefault="00F66CF6" w:rsidP="00F66CF6">
            <w:pPr>
              <w:jc w:val="both"/>
            </w:pPr>
            <w:r>
              <w:t>C</w:t>
            </w:r>
            <w:r w:rsidRPr="00660B73">
              <w:t xml:space="preserve">ollectively, these efforts </w:t>
            </w:r>
            <w:r>
              <w:t xml:space="preserve">which are </w:t>
            </w:r>
            <w:r w:rsidRPr="00660B73">
              <w:t xml:space="preserve">designed to enable </w:t>
            </w:r>
            <w:r>
              <w:t xml:space="preserve">individuals across Fife’s communities’ </w:t>
            </w:r>
            <w:r w:rsidRPr="00660B73">
              <w:t xml:space="preserve">access </w:t>
            </w:r>
            <w:r>
              <w:t xml:space="preserve">employment, </w:t>
            </w:r>
            <w:r w:rsidRPr="00660B73">
              <w:t>whil</w:t>
            </w:r>
            <w:r>
              <w:t>st</w:t>
            </w:r>
            <w:r w:rsidRPr="00660B73">
              <w:t xml:space="preserve"> assisting businesses secur</w:t>
            </w:r>
            <w:r>
              <w:t>e</w:t>
            </w:r>
            <w:r w:rsidRPr="00660B73">
              <w:t xml:space="preserve"> a skilled, resilient, and agile workforce</w:t>
            </w:r>
            <w:r>
              <w:t>, contributing to Fife’s Economy and Community Wealth Building.</w:t>
            </w:r>
          </w:p>
          <w:p w14:paraId="38894996" w14:textId="77777777" w:rsidR="000574DF" w:rsidRDefault="000574DF" w:rsidP="00F66CF6">
            <w:pPr>
              <w:jc w:val="both"/>
            </w:pPr>
          </w:p>
          <w:p w14:paraId="0866E32F" w14:textId="509E526C" w:rsidR="00F66CF6" w:rsidRPr="00F66CF6" w:rsidRDefault="00F66CF6" w:rsidP="00F66CF6">
            <w:pPr>
              <w:jc w:val="both"/>
            </w:pPr>
          </w:p>
        </w:tc>
      </w:tr>
      <w:tr w:rsidR="00F66CF6" w14:paraId="5125C640" w14:textId="77777777" w:rsidTr="000574DF">
        <w:tc>
          <w:tcPr>
            <w:tcW w:w="10485" w:type="dxa"/>
          </w:tcPr>
          <w:p w14:paraId="29D50B4B" w14:textId="77777777" w:rsidR="00F66CF6" w:rsidRPr="002A6A48" w:rsidRDefault="00F66CF6" w:rsidP="00F66CF6">
            <w:pPr>
              <w:jc w:val="center"/>
              <w:rPr>
                <w:b/>
                <w:bCs/>
                <w:i/>
                <w:iCs/>
                <w:color w:val="000000" w:themeColor="text1"/>
                <w:sz w:val="28"/>
                <w:szCs w:val="28"/>
                <w:u w:val="single"/>
              </w:rPr>
            </w:pPr>
            <w:r w:rsidRPr="002A6A48">
              <w:rPr>
                <w:b/>
                <w:bCs/>
                <w:i/>
                <w:iCs/>
                <w:color w:val="000000" w:themeColor="text1"/>
                <w:sz w:val="28"/>
                <w:szCs w:val="28"/>
                <w:u w:val="single"/>
              </w:rPr>
              <w:lastRenderedPageBreak/>
              <w:t>Promotion, Marketing and Communication</w:t>
            </w:r>
          </w:p>
          <w:p w14:paraId="6D1EF38A" w14:textId="77777777" w:rsidR="00F66CF6" w:rsidRDefault="00F66CF6" w:rsidP="00F66CF6">
            <w:pPr>
              <w:rPr>
                <w:b/>
                <w:bCs/>
                <w:u w:val="single"/>
              </w:rPr>
            </w:pPr>
          </w:p>
          <w:p w14:paraId="5771F748" w14:textId="77777777" w:rsidR="00F66CF6" w:rsidRDefault="00F66CF6" w:rsidP="00F66CF6">
            <w:pPr>
              <w:jc w:val="both"/>
            </w:pPr>
            <w:r w:rsidRPr="00EC5216">
              <w:t xml:space="preserve">In </w:t>
            </w:r>
            <w:r>
              <w:t xml:space="preserve">late </w:t>
            </w:r>
            <w:r w:rsidRPr="00EC5216">
              <w:t xml:space="preserve">January 2025 </w:t>
            </w:r>
            <w:r>
              <w:t xml:space="preserve">Fife Council </w:t>
            </w:r>
            <w:r w:rsidRPr="00EC5216">
              <w:t xml:space="preserve">Economic Development </w:t>
            </w:r>
            <w:r>
              <w:t xml:space="preserve">Team, developed </w:t>
            </w:r>
            <w:r w:rsidRPr="00EC5216">
              <w:t xml:space="preserve">a Fife FGF </w:t>
            </w:r>
            <w:r>
              <w:t>Newsletter u</w:t>
            </w:r>
            <w:r w:rsidRPr="00EC5216">
              <w:t>pdate</w:t>
            </w:r>
            <w:r>
              <w:t xml:space="preserve">.  This gave the background to FGF and key messages about the programme and the designated tax sites in Fife at Port of Rosyth and Burntisland. </w:t>
            </w:r>
          </w:p>
          <w:p w14:paraId="4A2872A0" w14:textId="77777777" w:rsidR="00F66CF6" w:rsidRDefault="00F66CF6" w:rsidP="00F66CF6">
            <w:pPr>
              <w:jc w:val="both"/>
            </w:pPr>
          </w:p>
          <w:p w14:paraId="0CC24C6E" w14:textId="77777777" w:rsidR="00F66CF6" w:rsidRPr="00EC5216" w:rsidRDefault="00F66CF6" w:rsidP="00F66CF6">
            <w:pPr>
              <w:jc w:val="both"/>
            </w:pPr>
            <w:r>
              <w:t xml:space="preserve">This update was </w:t>
            </w:r>
            <w:r w:rsidRPr="00EC5216">
              <w:t>circulated to local elected members</w:t>
            </w:r>
            <w:r>
              <w:t xml:space="preserve">, MSP’s and Area Community Managers to aid conversations with constituents and </w:t>
            </w:r>
            <w:r w:rsidRPr="00EC5216">
              <w:t xml:space="preserve">community anchor organisations </w:t>
            </w:r>
            <w:r>
              <w:t>within South and West Fife Committee area.  We have supported and facilitated ongoing FGF local dialogue as appropriate in line with programme development.  The January update was also issued to key partners</w:t>
            </w:r>
            <w:r w:rsidRPr="00EC5216">
              <w:t xml:space="preserve"> such as </w:t>
            </w:r>
            <w:r>
              <w:t xml:space="preserve">Scottish Enterprise, </w:t>
            </w:r>
            <w:r w:rsidRPr="00EC5216">
              <w:t>Business Gateway Fife and Fife Chamber</w:t>
            </w:r>
            <w:r>
              <w:t>, as well as across relevant Fife Council services.</w:t>
            </w:r>
          </w:p>
          <w:p w14:paraId="14FAC572" w14:textId="77777777" w:rsidR="00F66CF6" w:rsidRDefault="00F66CF6" w:rsidP="00F66CF6">
            <w:pPr>
              <w:pStyle w:val="NormalWeb"/>
              <w:jc w:val="both"/>
              <w:rPr>
                <w:rFonts w:asciiTheme="minorHAnsi" w:eastAsiaTheme="minorHAnsi" w:hAnsiTheme="minorHAnsi" w:cstheme="minorBidi"/>
                <w:kern w:val="2"/>
                <w:sz w:val="22"/>
                <w:szCs w:val="22"/>
                <w:lang w:eastAsia="en-US"/>
                <w14:ligatures w14:val="standardContextual"/>
              </w:rPr>
            </w:pPr>
            <w:r w:rsidRPr="00EC5216">
              <w:rPr>
                <w:rFonts w:asciiTheme="minorHAnsi" w:eastAsiaTheme="minorHAnsi" w:hAnsiTheme="minorHAnsi" w:cstheme="minorBidi"/>
                <w:kern w:val="2"/>
                <w:sz w:val="22"/>
                <w:szCs w:val="22"/>
                <w:lang w:eastAsia="en-US"/>
                <w14:ligatures w14:val="standardContextual"/>
              </w:rPr>
              <w:t xml:space="preserve">Since January 2025 </w:t>
            </w:r>
            <w:r>
              <w:rPr>
                <w:rFonts w:asciiTheme="minorHAnsi" w:eastAsiaTheme="minorHAnsi" w:hAnsiTheme="minorHAnsi" w:cstheme="minorBidi"/>
                <w:kern w:val="2"/>
                <w:sz w:val="22"/>
                <w:szCs w:val="22"/>
                <w:lang w:eastAsia="en-US"/>
                <w14:ligatures w14:val="standardContextual"/>
              </w:rPr>
              <w:t xml:space="preserve">through our </w:t>
            </w:r>
            <w:r w:rsidRPr="00A4138F">
              <w:rPr>
                <w:rFonts w:asciiTheme="minorHAnsi" w:eastAsiaTheme="minorHAnsi" w:hAnsiTheme="minorHAnsi" w:cstheme="minorBidi"/>
                <w:b/>
                <w:bCs/>
                <w:kern w:val="2"/>
                <w:sz w:val="22"/>
                <w:szCs w:val="22"/>
                <w:lang w:eastAsia="en-US"/>
                <w14:ligatures w14:val="standardContextual"/>
              </w:rPr>
              <w:t>Invest Fife</w:t>
            </w:r>
            <w:r w:rsidRPr="00EC5216">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branding, we have developed a </w:t>
            </w:r>
            <w:r w:rsidRPr="00EC5216">
              <w:rPr>
                <w:rFonts w:asciiTheme="minorHAnsi" w:eastAsiaTheme="minorHAnsi" w:hAnsiTheme="minorHAnsi" w:cstheme="minorBidi"/>
                <w:kern w:val="2"/>
                <w:sz w:val="22"/>
                <w:szCs w:val="22"/>
                <w:lang w:eastAsia="en-US"/>
                <w14:ligatures w14:val="standardContextual"/>
              </w:rPr>
              <w:t>Forth Green Freeport marketing and communication campaign</w:t>
            </w:r>
            <w:r>
              <w:rPr>
                <w:rFonts w:asciiTheme="minorHAnsi" w:eastAsiaTheme="minorHAnsi" w:hAnsiTheme="minorHAnsi" w:cstheme="minorBidi"/>
                <w:kern w:val="2"/>
                <w:sz w:val="22"/>
                <w:szCs w:val="22"/>
                <w:lang w:eastAsia="en-US"/>
                <w14:ligatures w14:val="standardContextual"/>
              </w:rPr>
              <w:t>. T</w:t>
            </w:r>
            <w:r w:rsidRPr="00EC5216">
              <w:rPr>
                <w:rFonts w:asciiTheme="minorHAnsi" w:eastAsiaTheme="minorHAnsi" w:hAnsiTheme="minorHAnsi" w:cstheme="minorBidi"/>
                <w:kern w:val="2"/>
                <w:sz w:val="22"/>
                <w:szCs w:val="22"/>
                <w:lang w:eastAsia="en-US"/>
                <w14:ligatures w14:val="standardContextual"/>
              </w:rPr>
              <w:t>o date social media posts across all platforms have generated high levels of impressions and strong engagement, with a high of 14.5% engagement rate for the post about the FGF job opportunities.</w:t>
            </w:r>
            <w:r>
              <w:rPr>
                <w:rFonts w:asciiTheme="minorHAnsi" w:eastAsiaTheme="minorHAnsi" w:hAnsiTheme="minorHAnsi" w:cstheme="minorBidi"/>
                <w:kern w:val="2"/>
                <w:sz w:val="22"/>
                <w:szCs w:val="22"/>
                <w:lang w:eastAsia="en-US"/>
                <w14:ligatures w14:val="standardContextual"/>
              </w:rPr>
              <w:t xml:space="preserve">  </w:t>
            </w:r>
            <w:r w:rsidRPr="00EC5216">
              <w:rPr>
                <w:rFonts w:asciiTheme="minorHAnsi" w:eastAsiaTheme="minorHAnsi" w:hAnsiTheme="minorHAnsi" w:cstheme="minorBidi"/>
                <w:kern w:val="2"/>
                <w:sz w:val="22"/>
                <w:szCs w:val="22"/>
                <w:lang w:eastAsia="en-US"/>
                <w14:ligatures w14:val="standardContextual"/>
              </w:rPr>
              <w:t>The FGF dedicated page on Invest Fife</w:t>
            </w:r>
            <w:r>
              <w:rPr>
                <w:rFonts w:asciiTheme="minorHAnsi" w:eastAsiaTheme="minorHAnsi" w:hAnsiTheme="minorHAnsi" w:cstheme="minorBidi"/>
                <w:kern w:val="2"/>
                <w:sz w:val="22"/>
                <w:szCs w:val="22"/>
                <w:lang w:eastAsia="en-US"/>
                <w14:ligatures w14:val="standardContextual"/>
              </w:rPr>
              <w:t xml:space="preserve"> </w:t>
            </w:r>
            <w:hyperlink r:id="rId13" w:history="1">
              <w:r w:rsidRPr="00EC5216">
                <w:rPr>
                  <w:rFonts w:asciiTheme="minorHAnsi" w:eastAsiaTheme="minorHAnsi" w:hAnsiTheme="minorHAnsi" w:cstheme="minorBidi"/>
                  <w:color w:val="0000FF"/>
                  <w:kern w:val="2"/>
                  <w:sz w:val="22"/>
                  <w:szCs w:val="22"/>
                  <w:u w:val="single"/>
                  <w:lang w:eastAsia="en-US"/>
                  <w14:ligatures w14:val="standardContextual"/>
                </w:rPr>
                <w:t xml:space="preserve">Forth Green Freeport | </w:t>
              </w:r>
              <w:proofErr w:type="spellStart"/>
              <w:r w:rsidRPr="00EC5216">
                <w:rPr>
                  <w:rFonts w:asciiTheme="minorHAnsi" w:eastAsiaTheme="minorHAnsi" w:hAnsiTheme="minorHAnsi" w:cstheme="minorBidi"/>
                  <w:color w:val="0000FF"/>
                  <w:kern w:val="2"/>
                  <w:sz w:val="22"/>
                  <w:szCs w:val="22"/>
                  <w:u w:val="single"/>
                  <w:lang w:eastAsia="en-US"/>
                  <w14:ligatures w14:val="standardContextual"/>
                </w:rPr>
                <w:t>InvestFife</w:t>
              </w:r>
              <w:proofErr w:type="spellEnd"/>
            </w:hyperlink>
            <w:r>
              <w:rPr>
                <w:rFonts w:asciiTheme="minorHAnsi" w:eastAsiaTheme="minorHAnsi" w:hAnsiTheme="minorHAnsi" w:cstheme="minorBidi"/>
                <w:kern w:val="2"/>
                <w:sz w:val="22"/>
                <w:szCs w:val="22"/>
                <w:lang w:eastAsia="en-US"/>
                <w14:ligatures w14:val="standardContextual"/>
              </w:rPr>
              <w:t xml:space="preserve">  which focuses on the Rosyth and Burntisland tax sites </w:t>
            </w:r>
            <w:r w:rsidRPr="00EC5216">
              <w:rPr>
                <w:rFonts w:asciiTheme="minorHAnsi" w:eastAsiaTheme="minorHAnsi" w:hAnsiTheme="minorHAnsi" w:cstheme="minorBidi"/>
                <w:kern w:val="2"/>
                <w:sz w:val="22"/>
                <w:szCs w:val="22"/>
                <w:lang w:eastAsia="en-US"/>
                <w14:ligatures w14:val="standardContextual"/>
              </w:rPr>
              <w:t>has also seen good engagement with around 200 unique views</w:t>
            </w:r>
            <w:r>
              <w:rPr>
                <w:rFonts w:asciiTheme="minorHAnsi" w:eastAsiaTheme="minorHAnsi" w:hAnsiTheme="minorHAnsi" w:cstheme="minorBidi"/>
                <w:kern w:val="2"/>
                <w:sz w:val="22"/>
                <w:szCs w:val="22"/>
                <w:lang w:eastAsia="en-US"/>
                <w14:ligatures w14:val="standardContextual"/>
              </w:rPr>
              <w:t>.</w:t>
            </w:r>
          </w:p>
          <w:p w14:paraId="470CA891" w14:textId="3887D24B" w:rsidR="007D10C7" w:rsidRDefault="00F66CF6" w:rsidP="007D10C7">
            <w:pPr>
              <w:pStyle w:val="NormalWeb"/>
              <w:spacing w:before="0" w:beforeAutospacing="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FGF </w:t>
            </w:r>
            <w:r w:rsidR="00495464">
              <w:rPr>
                <w:rFonts w:asciiTheme="minorHAnsi" w:eastAsiaTheme="minorHAnsi" w:hAnsiTheme="minorHAnsi" w:cstheme="minorBidi"/>
                <w:kern w:val="2"/>
                <w:sz w:val="22"/>
                <w:szCs w:val="22"/>
                <w:lang w:eastAsia="en-US"/>
                <w14:ligatures w14:val="standardContextual"/>
              </w:rPr>
              <w:t xml:space="preserve">is continually promoted </w:t>
            </w:r>
            <w:r>
              <w:rPr>
                <w:rFonts w:asciiTheme="minorHAnsi" w:eastAsiaTheme="minorHAnsi" w:hAnsiTheme="minorHAnsi" w:cstheme="minorBidi"/>
                <w:kern w:val="2"/>
                <w:sz w:val="22"/>
                <w:szCs w:val="22"/>
                <w:lang w:eastAsia="en-US"/>
                <w14:ligatures w14:val="standardContextual"/>
              </w:rPr>
              <w:t xml:space="preserve">at </w:t>
            </w:r>
            <w:r w:rsidR="00495464">
              <w:rPr>
                <w:rFonts w:asciiTheme="minorHAnsi" w:eastAsiaTheme="minorHAnsi" w:hAnsiTheme="minorHAnsi" w:cstheme="minorBidi"/>
                <w:kern w:val="2"/>
                <w:sz w:val="22"/>
                <w:szCs w:val="22"/>
                <w:lang w:eastAsia="en-US"/>
                <w14:ligatures w14:val="standardContextual"/>
              </w:rPr>
              <w:t xml:space="preserve">Fife </w:t>
            </w:r>
            <w:r>
              <w:rPr>
                <w:rFonts w:asciiTheme="minorHAnsi" w:eastAsiaTheme="minorHAnsi" w:hAnsiTheme="minorHAnsi" w:cstheme="minorBidi"/>
                <w:kern w:val="2"/>
                <w:sz w:val="22"/>
                <w:szCs w:val="22"/>
                <w:lang w:eastAsia="en-US"/>
                <w14:ligatures w14:val="standardContextual"/>
              </w:rPr>
              <w:t>events and conferences including, Fife: A Place for Energy Conference in June 2025 and Fife’s FGF tax sites will also be promoted at Invest Fife’s stand at Offshore Europe (Aberdeen) in September 2025 and Fife Business Week in November 2025.</w:t>
            </w:r>
          </w:p>
          <w:p w14:paraId="03EA5E06" w14:textId="01CF22D2" w:rsidR="007D10C7" w:rsidRPr="007D10C7" w:rsidRDefault="007D10C7" w:rsidP="007D10C7">
            <w:pPr>
              <w:pStyle w:val="NormalWeb"/>
              <w:spacing w:before="0" w:beforeAutospacing="0"/>
              <w:jc w:val="both"/>
              <w:rPr>
                <w:rFonts w:asciiTheme="minorHAnsi" w:eastAsiaTheme="minorHAnsi" w:hAnsiTheme="minorHAnsi" w:cstheme="minorBidi"/>
                <w:kern w:val="2"/>
                <w:sz w:val="22"/>
                <w:szCs w:val="22"/>
                <w:lang w:eastAsia="en-US"/>
                <w14:ligatures w14:val="standardContextual"/>
              </w:rPr>
            </w:pPr>
          </w:p>
        </w:tc>
      </w:tr>
      <w:tr w:rsidR="00546BE1" w14:paraId="31C80498" w14:textId="77777777" w:rsidTr="000574DF">
        <w:tc>
          <w:tcPr>
            <w:tcW w:w="10485" w:type="dxa"/>
          </w:tcPr>
          <w:p w14:paraId="7525DF53" w14:textId="5E988B0E" w:rsidR="00546BE1" w:rsidRPr="005970DF" w:rsidRDefault="00D63047" w:rsidP="00B95ADB">
            <w:pPr>
              <w:jc w:val="center"/>
              <w:rPr>
                <w:b/>
                <w:bCs/>
                <w:i/>
                <w:iCs/>
                <w:color w:val="000000" w:themeColor="text1"/>
                <w:sz w:val="28"/>
                <w:szCs w:val="28"/>
                <w:u w:val="single"/>
              </w:rPr>
            </w:pPr>
            <w:r w:rsidRPr="005970DF">
              <w:rPr>
                <w:b/>
                <w:bCs/>
                <w:i/>
                <w:iCs/>
                <w:color w:val="000000" w:themeColor="text1"/>
                <w:sz w:val="28"/>
                <w:szCs w:val="28"/>
                <w:u w:val="single"/>
              </w:rPr>
              <w:t xml:space="preserve">Useful links </w:t>
            </w:r>
          </w:p>
          <w:p w14:paraId="0AD8C180" w14:textId="77777777" w:rsidR="00D63047" w:rsidRDefault="00D63047" w:rsidP="00B95ADB">
            <w:pPr>
              <w:jc w:val="center"/>
              <w:rPr>
                <w:b/>
                <w:bCs/>
                <w:i/>
                <w:iCs/>
                <w:color w:val="153D63" w:themeColor="text2" w:themeTint="E6"/>
                <w:sz w:val="32"/>
                <w:szCs w:val="32"/>
                <w:u w:val="single"/>
              </w:rPr>
            </w:pPr>
          </w:p>
          <w:p w14:paraId="47A2F4F8" w14:textId="44DA979B" w:rsidR="005970DF" w:rsidRDefault="005970DF" w:rsidP="00AF6D8B">
            <w:pPr>
              <w:jc w:val="center"/>
            </w:pPr>
            <w:hyperlink r:id="rId14" w:history="1">
              <w:r w:rsidRPr="005970DF">
                <w:rPr>
                  <w:color w:val="0000FF"/>
                  <w:u w:val="single"/>
                </w:rPr>
                <w:t xml:space="preserve">Forth Green Freeport | </w:t>
              </w:r>
              <w:proofErr w:type="spellStart"/>
              <w:r w:rsidRPr="005970DF">
                <w:rPr>
                  <w:color w:val="0000FF"/>
                  <w:u w:val="single"/>
                </w:rPr>
                <w:t>InvestFife</w:t>
              </w:r>
              <w:proofErr w:type="spellEnd"/>
            </w:hyperlink>
          </w:p>
          <w:p w14:paraId="6CB7312C" w14:textId="77777777" w:rsidR="00AF6D8B" w:rsidRPr="00AF6D8B" w:rsidRDefault="00AF6D8B" w:rsidP="00AF6D8B">
            <w:pPr>
              <w:jc w:val="center"/>
            </w:pPr>
          </w:p>
          <w:p w14:paraId="57644F74" w14:textId="77777777" w:rsidR="00D63047" w:rsidRDefault="005970DF" w:rsidP="005970DF">
            <w:pPr>
              <w:jc w:val="center"/>
            </w:pPr>
            <w:hyperlink r:id="rId15" w:history="1">
              <w:r w:rsidRPr="005970DF">
                <w:rPr>
                  <w:color w:val="0000FF"/>
                  <w:u w:val="single"/>
                </w:rPr>
                <w:t>Home - Forth Green Freeport</w:t>
              </w:r>
            </w:hyperlink>
          </w:p>
          <w:p w14:paraId="11522A59" w14:textId="77777777" w:rsidR="005970DF" w:rsidRDefault="005970DF" w:rsidP="005970DF">
            <w:pPr>
              <w:jc w:val="center"/>
              <w:rPr>
                <w:b/>
                <w:bCs/>
                <w:i/>
                <w:iCs/>
                <w:color w:val="153D63" w:themeColor="text2" w:themeTint="E6"/>
                <w:sz w:val="32"/>
                <w:szCs w:val="32"/>
                <w:u w:val="single"/>
              </w:rPr>
            </w:pPr>
          </w:p>
          <w:p w14:paraId="10BA1C42" w14:textId="77777777" w:rsidR="005970DF" w:rsidRDefault="005970DF" w:rsidP="005970DF">
            <w:pPr>
              <w:jc w:val="center"/>
            </w:pPr>
            <w:hyperlink r:id="rId16" w:history="1">
              <w:r w:rsidRPr="005970DF">
                <w:rPr>
                  <w:color w:val="0000FF"/>
                  <w:u w:val="single"/>
                </w:rPr>
                <w:t>Rosyth Tax Site</w:t>
              </w:r>
            </w:hyperlink>
          </w:p>
          <w:p w14:paraId="392A2F15" w14:textId="77777777" w:rsidR="005970DF" w:rsidRDefault="005970DF" w:rsidP="005970DF">
            <w:pPr>
              <w:jc w:val="center"/>
              <w:rPr>
                <w:b/>
                <w:bCs/>
                <w:i/>
                <w:iCs/>
                <w:color w:val="153D63" w:themeColor="text2" w:themeTint="E6"/>
                <w:sz w:val="32"/>
                <w:szCs w:val="32"/>
                <w:u w:val="single"/>
              </w:rPr>
            </w:pPr>
          </w:p>
          <w:p w14:paraId="042CC41C" w14:textId="77777777" w:rsidR="005970DF" w:rsidRDefault="005970DF" w:rsidP="005970DF">
            <w:pPr>
              <w:jc w:val="center"/>
            </w:pPr>
            <w:hyperlink r:id="rId17" w:history="1">
              <w:r>
                <w:rPr>
                  <w:color w:val="0000FF"/>
                  <w:u w:val="single"/>
                </w:rPr>
                <w:t>Mid Forth Tax Site (Burntisland)</w:t>
              </w:r>
            </w:hyperlink>
          </w:p>
          <w:p w14:paraId="046B2C99" w14:textId="77777777" w:rsidR="005970DF" w:rsidRDefault="005970DF" w:rsidP="005970DF">
            <w:pPr>
              <w:jc w:val="center"/>
              <w:rPr>
                <w:b/>
                <w:bCs/>
                <w:i/>
                <w:iCs/>
                <w:color w:val="153D63" w:themeColor="text2" w:themeTint="E6"/>
                <w:sz w:val="32"/>
                <w:szCs w:val="32"/>
                <w:u w:val="single"/>
              </w:rPr>
            </w:pPr>
          </w:p>
          <w:p w14:paraId="2CF55535" w14:textId="2ACD4F2D" w:rsidR="005970DF" w:rsidRDefault="005970DF" w:rsidP="005970DF">
            <w:pPr>
              <w:jc w:val="center"/>
              <w:rPr>
                <w:b/>
                <w:bCs/>
                <w:i/>
                <w:iCs/>
                <w:color w:val="153D63" w:themeColor="text2" w:themeTint="E6"/>
                <w:sz w:val="32"/>
                <w:szCs w:val="32"/>
                <w:u w:val="single"/>
              </w:rPr>
            </w:pPr>
            <w:hyperlink r:id="rId18" w:history="1">
              <w:r w:rsidRPr="005970DF">
                <w:rPr>
                  <w:color w:val="0000FF"/>
                  <w:u w:val="single"/>
                </w:rPr>
                <w:t xml:space="preserve">Green Freeports - Planning and Other Consents: National Protocol - </w:t>
              </w:r>
              <w:proofErr w:type="spellStart"/>
              <w:proofErr w:type="gramStart"/>
              <w:r w:rsidRPr="005970DF">
                <w:rPr>
                  <w:color w:val="0000FF"/>
                  <w:u w:val="single"/>
                </w:rPr>
                <w:t>gov.scot</w:t>
              </w:r>
              <w:proofErr w:type="spellEnd"/>
              <w:proofErr w:type="gramEnd"/>
            </w:hyperlink>
          </w:p>
          <w:p w14:paraId="4C39F73A" w14:textId="77777777" w:rsidR="005970DF" w:rsidRDefault="005970DF" w:rsidP="005970DF">
            <w:pPr>
              <w:jc w:val="center"/>
              <w:rPr>
                <w:b/>
                <w:bCs/>
                <w:i/>
                <w:iCs/>
                <w:color w:val="153D63" w:themeColor="text2" w:themeTint="E6"/>
                <w:sz w:val="32"/>
                <w:szCs w:val="32"/>
                <w:u w:val="single"/>
              </w:rPr>
            </w:pPr>
          </w:p>
          <w:p w14:paraId="13C9DCE5" w14:textId="77777777" w:rsidR="00495464" w:rsidRDefault="00495464" w:rsidP="005970DF">
            <w:pPr>
              <w:jc w:val="center"/>
              <w:rPr>
                <w:b/>
                <w:bCs/>
                <w:i/>
                <w:iCs/>
                <w:color w:val="153D63" w:themeColor="text2" w:themeTint="E6"/>
                <w:sz w:val="32"/>
                <w:szCs w:val="32"/>
                <w:u w:val="single"/>
              </w:rPr>
            </w:pPr>
          </w:p>
          <w:p w14:paraId="2B8C98BE" w14:textId="77777777" w:rsidR="00495464" w:rsidRDefault="00495464" w:rsidP="005970DF">
            <w:pPr>
              <w:jc w:val="center"/>
              <w:rPr>
                <w:b/>
                <w:bCs/>
                <w:i/>
                <w:iCs/>
                <w:color w:val="153D63" w:themeColor="text2" w:themeTint="E6"/>
                <w:sz w:val="32"/>
                <w:szCs w:val="32"/>
                <w:u w:val="single"/>
              </w:rPr>
            </w:pPr>
          </w:p>
          <w:p w14:paraId="5A2DDA17" w14:textId="77777777" w:rsidR="00495464" w:rsidRDefault="00495464" w:rsidP="005970DF">
            <w:pPr>
              <w:jc w:val="center"/>
              <w:rPr>
                <w:b/>
                <w:bCs/>
                <w:i/>
                <w:iCs/>
                <w:color w:val="153D63" w:themeColor="text2" w:themeTint="E6"/>
                <w:sz w:val="32"/>
                <w:szCs w:val="32"/>
                <w:u w:val="single"/>
              </w:rPr>
            </w:pPr>
          </w:p>
          <w:p w14:paraId="29C12FC2" w14:textId="77777777" w:rsidR="00495464" w:rsidRDefault="00495464" w:rsidP="005970DF">
            <w:pPr>
              <w:jc w:val="center"/>
              <w:rPr>
                <w:b/>
                <w:bCs/>
                <w:i/>
                <w:iCs/>
                <w:color w:val="153D63" w:themeColor="text2" w:themeTint="E6"/>
                <w:sz w:val="32"/>
                <w:szCs w:val="32"/>
                <w:u w:val="single"/>
              </w:rPr>
            </w:pPr>
          </w:p>
          <w:p w14:paraId="2B637C1C" w14:textId="77777777" w:rsidR="00495464" w:rsidRDefault="00495464" w:rsidP="005970DF">
            <w:pPr>
              <w:jc w:val="center"/>
              <w:rPr>
                <w:b/>
                <w:bCs/>
                <w:i/>
                <w:iCs/>
                <w:color w:val="153D63" w:themeColor="text2" w:themeTint="E6"/>
                <w:sz w:val="32"/>
                <w:szCs w:val="32"/>
                <w:u w:val="single"/>
              </w:rPr>
            </w:pPr>
          </w:p>
          <w:p w14:paraId="7BC6A9C4" w14:textId="77777777" w:rsidR="00495464" w:rsidRDefault="00495464" w:rsidP="005970DF">
            <w:pPr>
              <w:jc w:val="center"/>
              <w:rPr>
                <w:b/>
                <w:bCs/>
                <w:i/>
                <w:iCs/>
                <w:color w:val="153D63" w:themeColor="text2" w:themeTint="E6"/>
                <w:sz w:val="32"/>
                <w:szCs w:val="32"/>
                <w:u w:val="single"/>
              </w:rPr>
            </w:pPr>
          </w:p>
          <w:p w14:paraId="30BD052C" w14:textId="77777777" w:rsidR="00495464" w:rsidRDefault="00495464" w:rsidP="005970DF">
            <w:pPr>
              <w:jc w:val="center"/>
              <w:rPr>
                <w:b/>
                <w:bCs/>
                <w:i/>
                <w:iCs/>
                <w:color w:val="153D63" w:themeColor="text2" w:themeTint="E6"/>
                <w:sz w:val="32"/>
                <w:szCs w:val="32"/>
                <w:u w:val="single"/>
              </w:rPr>
            </w:pPr>
          </w:p>
          <w:p w14:paraId="5EBADA3B" w14:textId="77777777" w:rsidR="00495464" w:rsidRDefault="00495464" w:rsidP="005970DF">
            <w:pPr>
              <w:jc w:val="center"/>
              <w:rPr>
                <w:b/>
                <w:bCs/>
                <w:i/>
                <w:iCs/>
                <w:color w:val="153D63" w:themeColor="text2" w:themeTint="E6"/>
                <w:sz w:val="32"/>
                <w:szCs w:val="32"/>
                <w:u w:val="single"/>
              </w:rPr>
            </w:pPr>
          </w:p>
          <w:p w14:paraId="030523B1" w14:textId="77777777" w:rsidR="00495464" w:rsidRDefault="00495464" w:rsidP="005970DF">
            <w:pPr>
              <w:jc w:val="center"/>
              <w:rPr>
                <w:b/>
                <w:bCs/>
                <w:i/>
                <w:iCs/>
                <w:color w:val="153D63" w:themeColor="text2" w:themeTint="E6"/>
                <w:sz w:val="32"/>
                <w:szCs w:val="32"/>
                <w:u w:val="single"/>
              </w:rPr>
            </w:pPr>
          </w:p>
          <w:p w14:paraId="708B79AE" w14:textId="6735DFB1" w:rsidR="00495464" w:rsidRPr="00B95ADB" w:rsidRDefault="00495464" w:rsidP="005970DF">
            <w:pPr>
              <w:jc w:val="center"/>
              <w:rPr>
                <w:b/>
                <w:bCs/>
                <w:i/>
                <w:iCs/>
                <w:color w:val="153D63" w:themeColor="text2" w:themeTint="E6"/>
                <w:sz w:val="32"/>
                <w:szCs w:val="32"/>
                <w:u w:val="single"/>
              </w:rPr>
            </w:pPr>
          </w:p>
        </w:tc>
      </w:tr>
    </w:tbl>
    <w:p w14:paraId="3CE64D56" w14:textId="77777777" w:rsidR="0074590B" w:rsidRDefault="0074590B" w:rsidP="00495464"/>
    <w:sectPr w:rsidR="0074590B" w:rsidSect="00C05E7C">
      <w:footerReference w:type="defaul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B1EA5" w14:textId="77777777" w:rsidR="00917257" w:rsidRDefault="00917257" w:rsidP="00C05E7C">
      <w:pPr>
        <w:spacing w:after="0" w:line="240" w:lineRule="auto"/>
      </w:pPr>
      <w:r>
        <w:separator/>
      </w:r>
    </w:p>
  </w:endnote>
  <w:endnote w:type="continuationSeparator" w:id="0">
    <w:p w14:paraId="39DE77B7" w14:textId="77777777" w:rsidR="00917257" w:rsidRDefault="00917257" w:rsidP="00C0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852459"/>
      <w:docPartObj>
        <w:docPartGallery w:val="Page Numbers (Bottom of Page)"/>
        <w:docPartUnique/>
      </w:docPartObj>
    </w:sdtPr>
    <w:sdtEndPr>
      <w:rPr>
        <w:noProof/>
      </w:rPr>
    </w:sdtEndPr>
    <w:sdtContent>
      <w:p w14:paraId="3DC6A003" w14:textId="77777777" w:rsidR="001F2426" w:rsidRDefault="00B95AD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E7DE87D" w14:textId="4BD176C7" w:rsidR="00B95ADB" w:rsidRDefault="00000000">
        <w:pPr>
          <w:pStyle w:val="Footer"/>
          <w:jc w:val="center"/>
        </w:pPr>
      </w:p>
    </w:sdtContent>
  </w:sdt>
  <w:p w14:paraId="0DE54E71" w14:textId="53C2E53F" w:rsidR="00B95ADB" w:rsidRPr="00C50CE7" w:rsidRDefault="00B95ADB" w:rsidP="00B95ADB">
    <w:pPr>
      <w:pStyle w:val="Footer"/>
      <w:jc w:val="center"/>
      <w:rPr>
        <w:b/>
        <w:bCs/>
        <w:color w:val="000000" w:themeColor="text1"/>
        <w:sz w:val="20"/>
        <w:szCs w:val="20"/>
      </w:rPr>
    </w:pPr>
    <w:r w:rsidRPr="00C50CE7">
      <w:rPr>
        <w:b/>
        <w:bCs/>
        <w:color w:val="000000" w:themeColor="text1"/>
        <w:sz w:val="20"/>
        <w:szCs w:val="20"/>
      </w:rPr>
      <w:t>Forth Green Freeport – Fife Local Stakeholder Update – Summer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3F04" w14:textId="77777777" w:rsidR="00917257" w:rsidRDefault="00917257" w:rsidP="00C05E7C">
      <w:pPr>
        <w:spacing w:after="0" w:line="240" w:lineRule="auto"/>
      </w:pPr>
      <w:r>
        <w:separator/>
      </w:r>
    </w:p>
  </w:footnote>
  <w:footnote w:type="continuationSeparator" w:id="0">
    <w:p w14:paraId="5D283B54" w14:textId="77777777" w:rsidR="00917257" w:rsidRDefault="00917257" w:rsidP="00C05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CE7"/>
    <w:multiLevelType w:val="multilevel"/>
    <w:tmpl w:val="53B4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31917"/>
    <w:multiLevelType w:val="hybridMultilevel"/>
    <w:tmpl w:val="390CD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A535D"/>
    <w:multiLevelType w:val="hybridMultilevel"/>
    <w:tmpl w:val="9710C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B2ED7"/>
    <w:multiLevelType w:val="multilevel"/>
    <w:tmpl w:val="7374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56BDF"/>
    <w:multiLevelType w:val="hybridMultilevel"/>
    <w:tmpl w:val="1D7A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50BA8"/>
    <w:multiLevelType w:val="hybridMultilevel"/>
    <w:tmpl w:val="D5AE008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EC396C"/>
    <w:multiLevelType w:val="multilevel"/>
    <w:tmpl w:val="CDB6712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3F2C4D54"/>
    <w:multiLevelType w:val="hybridMultilevel"/>
    <w:tmpl w:val="6A384D4C"/>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473F6E40"/>
    <w:multiLevelType w:val="multilevel"/>
    <w:tmpl w:val="C83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00752"/>
    <w:multiLevelType w:val="hybridMultilevel"/>
    <w:tmpl w:val="2984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365DE"/>
    <w:multiLevelType w:val="multilevel"/>
    <w:tmpl w:val="955C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144E6"/>
    <w:multiLevelType w:val="hybridMultilevel"/>
    <w:tmpl w:val="028C2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CA310F"/>
    <w:multiLevelType w:val="hybridMultilevel"/>
    <w:tmpl w:val="7F44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751D6"/>
    <w:multiLevelType w:val="hybridMultilevel"/>
    <w:tmpl w:val="8A7A0A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D00BDC"/>
    <w:multiLevelType w:val="hybridMultilevel"/>
    <w:tmpl w:val="5A72410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A360196"/>
    <w:multiLevelType w:val="hybridMultilevel"/>
    <w:tmpl w:val="0D5AA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409EA"/>
    <w:multiLevelType w:val="hybridMultilevel"/>
    <w:tmpl w:val="09D6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7783E"/>
    <w:multiLevelType w:val="multilevel"/>
    <w:tmpl w:val="6C2E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24627D"/>
    <w:multiLevelType w:val="multilevel"/>
    <w:tmpl w:val="B76A024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492242"/>
    <w:multiLevelType w:val="hybridMultilevel"/>
    <w:tmpl w:val="AE4C0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6D05EE"/>
    <w:multiLevelType w:val="hybridMultilevel"/>
    <w:tmpl w:val="4A204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0027572">
    <w:abstractNumId w:val="9"/>
  </w:num>
  <w:num w:numId="2" w16cid:durableId="1398170752">
    <w:abstractNumId w:val="12"/>
  </w:num>
  <w:num w:numId="3" w16cid:durableId="1762798655">
    <w:abstractNumId w:val="4"/>
  </w:num>
  <w:num w:numId="4" w16cid:durableId="1889799785">
    <w:abstractNumId w:val="20"/>
  </w:num>
  <w:num w:numId="5" w16cid:durableId="646516821">
    <w:abstractNumId w:val="8"/>
  </w:num>
  <w:num w:numId="6" w16cid:durableId="749546220">
    <w:abstractNumId w:val="6"/>
  </w:num>
  <w:num w:numId="7" w16cid:durableId="75522184">
    <w:abstractNumId w:val="3"/>
  </w:num>
  <w:num w:numId="8" w16cid:durableId="143551724">
    <w:abstractNumId w:val="0"/>
  </w:num>
  <w:num w:numId="9" w16cid:durableId="1848863576">
    <w:abstractNumId w:val="17"/>
  </w:num>
  <w:num w:numId="10" w16cid:durableId="1098868964">
    <w:abstractNumId w:val="10"/>
  </w:num>
  <w:num w:numId="11" w16cid:durableId="625500965">
    <w:abstractNumId w:val="18"/>
  </w:num>
  <w:num w:numId="12" w16cid:durableId="2020423948">
    <w:abstractNumId w:val="14"/>
  </w:num>
  <w:num w:numId="13" w16cid:durableId="172646818">
    <w:abstractNumId w:val="15"/>
  </w:num>
  <w:num w:numId="14" w16cid:durableId="314574893">
    <w:abstractNumId w:val="11"/>
  </w:num>
  <w:num w:numId="15" w16cid:durableId="1340739273">
    <w:abstractNumId w:val="16"/>
  </w:num>
  <w:num w:numId="16" w16cid:durableId="791898002">
    <w:abstractNumId w:val="2"/>
  </w:num>
  <w:num w:numId="17" w16cid:durableId="1172918762">
    <w:abstractNumId w:val="7"/>
  </w:num>
  <w:num w:numId="18" w16cid:durableId="1849713241">
    <w:abstractNumId w:val="5"/>
  </w:num>
  <w:num w:numId="19" w16cid:durableId="1720205125">
    <w:abstractNumId w:val="1"/>
  </w:num>
  <w:num w:numId="20" w16cid:durableId="17124556">
    <w:abstractNumId w:val="19"/>
  </w:num>
  <w:num w:numId="21" w16cid:durableId="662587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7C"/>
    <w:rsid w:val="000152CE"/>
    <w:rsid w:val="0002796E"/>
    <w:rsid w:val="000343DE"/>
    <w:rsid w:val="000574DF"/>
    <w:rsid w:val="00077EE9"/>
    <w:rsid w:val="0008673F"/>
    <w:rsid w:val="000C103D"/>
    <w:rsid w:val="00107E69"/>
    <w:rsid w:val="00140E0B"/>
    <w:rsid w:val="00160205"/>
    <w:rsid w:val="0019724D"/>
    <w:rsid w:val="001F2426"/>
    <w:rsid w:val="001F7D02"/>
    <w:rsid w:val="00203783"/>
    <w:rsid w:val="00247FA5"/>
    <w:rsid w:val="002A6A48"/>
    <w:rsid w:val="00354E6A"/>
    <w:rsid w:val="00377AA9"/>
    <w:rsid w:val="0038075F"/>
    <w:rsid w:val="003B2933"/>
    <w:rsid w:val="003E302D"/>
    <w:rsid w:val="00495464"/>
    <w:rsid w:val="00546BE1"/>
    <w:rsid w:val="00595296"/>
    <w:rsid w:val="005970DF"/>
    <w:rsid w:val="005B5213"/>
    <w:rsid w:val="00674703"/>
    <w:rsid w:val="006D05FA"/>
    <w:rsid w:val="006F28EA"/>
    <w:rsid w:val="007157BF"/>
    <w:rsid w:val="0074590B"/>
    <w:rsid w:val="00797F34"/>
    <w:rsid w:val="007D10C7"/>
    <w:rsid w:val="007F0D76"/>
    <w:rsid w:val="00813A86"/>
    <w:rsid w:val="00880E1D"/>
    <w:rsid w:val="008D04AC"/>
    <w:rsid w:val="008E60FF"/>
    <w:rsid w:val="00917257"/>
    <w:rsid w:val="0098791F"/>
    <w:rsid w:val="009A37E7"/>
    <w:rsid w:val="009E4E34"/>
    <w:rsid w:val="009E6912"/>
    <w:rsid w:val="009F243A"/>
    <w:rsid w:val="00A07A68"/>
    <w:rsid w:val="00A13491"/>
    <w:rsid w:val="00A1727B"/>
    <w:rsid w:val="00A4138F"/>
    <w:rsid w:val="00A53212"/>
    <w:rsid w:val="00A75704"/>
    <w:rsid w:val="00AA43A6"/>
    <w:rsid w:val="00AE4DFD"/>
    <w:rsid w:val="00AF0BF0"/>
    <w:rsid w:val="00AF6D8B"/>
    <w:rsid w:val="00B8551E"/>
    <w:rsid w:val="00B95ADB"/>
    <w:rsid w:val="00BE21CF"/>
    <w:rsid w:val="00BE298A"/>
    <w:rsid w:val="00BF43F2"/>
    <w:rsid w:val="00C05E7C"/>
    <w:rsid w:val="00C16C60"/>
    <w:rsid w:val="00C50CE7"/>
    <w:rsid w:val="00C82B33"/>
    <w:rsid w:val="00CB0453"/>
    <w:rsid w:val="00CF0E4A"/>
    <w:rsid w:val="00D22013"/>
    <w:rsid w:val="00D63047"/>
    <w:rsid w:val="00D72619"/>
    <w:rsid w:val="00DB6057"/>
    <w:rsid w:val="00DF5B32"/>
    <w:rsid w:val="00E32EC7"/>
    <w:rsid w:val="00E4618D"/>
    <w:rsid w:val="00E5154C"/>
    <w:rsid w:val="00EC5216"/>
    <w:rsid w:val="00ED00A2"/>
    <w:rsid w:val="00EF78A8"/>
    <w:rsid w:val="00F16B02"/>
    <w:rsid w:val="00F66CF6"/>
    <w:rsid w:val="00FA5ABB"/>
    <w:rsid w:val="00FB2FC7"/>
    <w:rsid w:val="00FB5B89"/>
    <w:rsid w:val="00FB7F62"/>
    <w:rsid w:val="00FE1238"/>
    <w:rsid w:val="00FF2421"/>
    <w:rsid w:val="00FF3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89D49"/>
  <w15:chartTrackingRefBased/>
  <w15:docId w15:val="{C5E6085E-75D8-4B06-AE95-B7659E15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8A8"/>
  </w:style>
  <w:style w:type="paragraph" w:styleId="Heading1">
    <w:name w:val="heading 1"/>
    <w:basedOn w:val="Normal"/>
    <w:next w:val="Normal"/>
    <w:link w:val="Heading1Char"/>
    <w:uiPriority w:val="9"/>
    <w:qFormat/>
    <w:rsid w:val="00C0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E7C"/>
    <w:rPr>
      <w:rFonts w:eastAsiaTheme="majorEastAsia" w:cstheme="majorBidi"/>
      <w:color w:val="272727" w:themeColor="text1" w:themeTint="D8"/>
    </w:rPr>
  </w:style>
  <w:style w:type="paragraph" w:styleId="Title">
    <w:name w:val="Title"/>
    <w:basedOn w:val="Normal"/>
    <w:next w:val="Normal"/>
    <w:link w:val="TitleChar"/>
    <w:uiPriority w:val="10"/>
    <w:qFormat/>
    <w:rsid w:val="00C05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E7C"/>
    <w:pPr>
      <w:spacing w:before="160"/>
      <w:jc w:val="center"/>
    </w:pPr>
    <w:rPr>
      <w:i/>
      <w:iCs/>
      <w:color w:val="404040" w:themeColor="text1" w:themeTint="BF"/>
    </w:rPr>
  </w:style>
  <w:style w:type="character" w:customStyle="1" w:styleId="QuoteChar">
    <w:name w:val="Quote Char"/>
    <w:basedOn w:val="DefaultParagraphFont"/>
    <w:link w:val="Quote"/>
    <w:uiPriority w:val="29"/>
    <w:rsid w:val="00C05E7C"/>
    <w:rPr>
      <w:i/>
      <w:iCs/>
      <w:color w:val="404040" w:themeColor="text1" w:themeTint="BF"/>
    </w:rPr>
  </w:style>
  <w:style w:type="paragraph" w:styleId="ListParagraph">
    <w:name w:val="List Paragraph"/>
    <w:basedOn w:val="Normal"/>
    <w:uiPriority w:val="34"/>
    <w:qFormat/>
    <w:rsid w:val="00C05E7C"/>
    <w:pPr>
      <w:ind w:left="720"/>
      <w:contextualSpacing/>
    </w:pPr>
  </w:style>
  <w:style w:type="character" w:styleId="IntenseEmphasis">
    <w:name w:val="Intense Emphasis"/>
    <w:basedOn w:val="DefaultParagraphFont"/>
    <w:uiPriority w:val="21"/>
    <w:qFormat/>
    <w:rsid w:val="00C05E7C"/>
    <w:rPr>
      <w:i/>
      <w:iCs/>
      <w:color w:val="0F4761" w:themeColor="accent1" w:themeShade="BF"/>
    </w:rPr>
  </w:style>
  <w:style w:type="paragraph" w:styleId="IntenseQuote">
    <w:name w:val="Intense Quote"/>
    <w:basedOn w:val="Normal"/>
    <w:next w:val="Normal"/>
    <w:link w:val="IntenseQuoteChar"/>
    <w:uiPriority w:val="30"/>
    <w:qFormat/>
    <w:rsid w:val="00C0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E7C"/>
    <w:rPr>
      <w:i/>
      <w:iCs/>
      <w:color w:val="0F4761" w:themeColor="accent1" w:themeShade="BF"/>
    </w:rPr>
  </w:style>
  <w:style w:type="character" w:styleId="IntenseReference">
    <w:name w:val="Intense Reference"/>
    <w:basedOn w:val="DefaultParagraphFont"/>
    <w:uiPriority w:val="32"/>
    <w:qFormat/>
    <w:rsid w:val="00C05E7C"/>
    <w:rPr>
      <w:b/>
      <w:bCs/>
      <w:smallCaps/>
      <w:color w:val="0F4761" w:themeColor="accent1" w:themeShade="BF"/>
      <w:spacing w:val="5"/>
    </w:rPr>
  </w:style>
  <w:style w:type="paragraph" w:styleId="Header">
    <w:name w:val="header"/>
    <w:basedOn w:val="Normal"/>
    <w:link w:val="HeaderChar"/>
    <w:uiPriority w:val="99"/>
    <w:unhideWhenUsed/>
    <w:rsid w:val="00C05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E7C"/>
  </w:style>
  <w:style w:type="paragraph" w:styleId="Footer">
    <w:name w:val="footer"/>
    <w:basedOn w:val="Normal"/>
    <w:link w:val="FooterChar"/>
    <w:uiPriority w:val="99"/>
    <w:unhideWhenUsed/>
    <w:rsid w:val="00C05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E7C"/>
  </w:style>
  <w:style w:type="table" w:styleId="TableGrid">
    <w:name w:val="Table Grid"/>
    <w:basedOn w:val="TableNormal"/>
    <w:uiPriority w:val="39"/>
    <w:rsid w:val="00C0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B33"/>
    <w:rPr>
      <w:color w:val="0000FF"/>
      <w:u w:val="single"/>
    </w:rPr>
  </w:style>
  <w:style w:type="character" w:customStyle="1" w:styleId="normaltextrun">
    <w:name w:val="normaltextrun"/>
    <w:basedOn w:val="DefaultParagraphFont"/>
    <w:rsid w:val="00FB5B89"/>
  </w:style>
  <w:style w:type="character" w:customStyle="1" w:styleId="eop">
    <w:name w:val="eop"/>
    <w:basedOn w:val="DefaultParagraphFont"/>
    <w:rsid w:val="00FB5B89"/>
  </w:style>
  <w:style w:type="character" w:styleId="UnresolvedMention">
    <w:name w:val="Unresolved Mention"/>
    <w:basedOn w:val="DefaultParagraphFont"/>
    <w:uiPriority w:val="99"/>
    <w:semiHidden/>
    <w:unhideWhenUsed/>
    <w:rsid w:val="006F28EA"/>
    <w:rPr>
      <w:color w:val="605E5C"/>
      <w:shd w:val="clear" w:color="auto" w:fill="E1DFDD"/>
    </w:rPr>
  </w:style>
  <w:style w:type="paragraph" w:styleId="NormalWeb">
    <w:name w:val="Normal (Web)"/>
    <w:basedOn w:val="Normal"/>
    <w:uiPriority w:val="99"/>
    <w:unhideWhenUsed/>
    <w:rsid w:val="00C50C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A172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6997">
      <w:bodyDiv w:val="1"/>
      <w:marLeft w:val="0"/>
      <w:marRight w:val="0"/>
      <w:marTop w:val="0"/>
      <w:marBottom w:val="0"/>
      <w:divBdr>
        <w:top w:val="none" w:sz="0" w:space="0" w:color="auto"/>
        <w:left w:val="none" w:sz="0" w:space="0" w:color="auto"/>
        <w:bottom w:val="none" w:sz="0" w:space="0" w:color="auto"/>
        <w:right w:val="none" w:sz="0" w:space="0" w:color="auto"/>
      </w:divBdr>
    </w:div>
    <w:div w:id="204754666">
      <w:bodyDiv w:val="1"/>
      <w:marLeft w:val="0"/>
      <w:marRight w:val="0"/>
      <w:marTop w:val="0"/>
      <w:marBottom w:val="0"/>
      <w:divBdr>
        <w:top w:val="none" w:sz="0" w:space="0" w:color="auto"/>
        <w:left w:val="none" w:sz="0" w:space="0" w:color="auto"/>
        <w:bottom w:val="none" w:sz="0" w:space="0" w:color="auto"/>
        <w:right w:val="none" w:sz="0" w:space="0" w:color="auto"/>
      </w:divBdr>
    </w:div>
    <w:div w:id="305479463">
      <w:bodyDiv w:val="1"/>
      <w:marLeft w:val="0"/>
      <w:marRight w:val="0"/>
      <w:marTop w:val="0"/>
      <w:marBottom w:val="0"/>
      <w:divBdr>
        <w:top w:val="none" w:sz="0" w:space="0" w:color="auto"/>
        <w:left w:val="none" w:sz="0" w:space="0" w:color="auto"/>
        <w:bottom w:val="none" w:sz="0" w:space="0" w:color="auto"/>
        <w:right w:val="none" w:sz="0" w:space="0" w:color="auto"/>
      </w:divBdr>
    </w:div>
    <w:div w:id="19846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vestfife.co.uk/land-property/key-investment-opportunities/forth-green-freeport/" TargetMode="External"/><Relationship Id="rId18" Type="http://schemas.openxmlformats.org/officeDocument/2006/relationships/hyperlink" Target="https://www.gov.scot/publications/green-freeports-planning-and-other-consents-national-protoco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OTNSCWxoP6w&amp;t=54s" TargetMode="External"/><Relationship Id="rId17" Type="http://schemas.openxmlformats.org/officeDocument/2006/relationships/hyperlink" Target="https://assets.publishing.service.gov.uk/media/6645cc564f29e1d07fadc914/Mid_Forth_Tax_Site__Burntisland_.pdf" TargetMode="External"/><Relationship Id="rId2" Type="http://schemas.openxmlformats.org/officeDocument/2006/relationships/numbering" Target="numbering.xml"/><Relationship Id="rId16" Type="http://schemas.openxmlformats.org/officeDocument/2006/relationships/hyperlink" Target="https://assets.publishing.service.gov.uk/media/6645cc0eae748c43d3793cba/Rosyth_Tax_Sit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38-5ibluog" TargetMode="External"/><Relationship Id="rId5" Type="http://schemas.openxmlformats.org/officeDocument/2006/relationships/webSettings" Target="webSettings.xml"/><Relationship Id="rId15" Type="http://schemas.openxmlformats.org/officeDocument/2006/relationships/hyperlink" Target="https://forthgreenfreeport.com/" TargetMode="External"/><Relationship Id="rId10" Type="http://schemas.openxmlformats.org/officeDocument/2006/relationships/hyperlink" Target="https://www.investfife.co.uk/wp-content/uploads/2025/06/03378-IF-ENERGY-PROSPECTUS-v3-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vestfife.co.uk/land-property/key-investment-opportunities/forth-green-fre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A5348-96A3-4467-A7FA-5865E851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Cross</dc:creator>
  <cp:keywords/>
  <dc:description/>
  <cp:lastModifiedBy>Angela Kay</cp:lastModifiedBy>
  <cp:revision>6</cp:revision>
  <dcterms:created xsi:type="dcterms:W3CDTF">2025-08-05T10:18:00Z</dcterms:created>
  <dcterms:modified xsi:type="dcterms:W3CDTF">2025-08-05T11:08:00Z</dcterms:modified>
</cp:coreProperties>
</file>